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福建省政府采购</w:t>
      </w:r>
      <w:bookmarkStart w:id="0" w:name="_GoBack"/>
      <w:bookmarkEnd w:id="0"/>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货物和服务项目</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公开招标文件</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项目名称：厦门市产品质量监督检验院重点工业产品检验检测设备更新项目（色谱仪）</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备案编号：CGXM-2026-350201-01078[2026]00558</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项目编号：[350201]wx[GK]2026031</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采购人：厦门市产品质量监督检验院</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代理机构：厦门万翔招标有限公司</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编制时间：2026年07月</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第一章 投标邀请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厦门万翔招标有限公司 采用公开招标方式组织 厦门市产品质量监督检验院重点工业产品检验检测设备更新项目（色谱仪） （以下简称：“本项目”）的政府采购活动，现邀请供应商参加投标。</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1、备案编号：CGXM-2026-350201-01078[2026]00558</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2、项目编号：[350201]wx[GK]2026031</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3、预算金额、最高限价：详见《采购标的一览表》。</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4、招标内容及要求：详见《采购标的一览表》及招标文件第五章。</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5、需要落实的政府采购政策</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进口产品：不允许进口产品参加本项目的采购活动</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节能产品：按照《关于调整优化节能产品、环境标志产品政府采购执行机制的通知》财库〔2019〕9号、《市场监管总局关于发布参与实施政府采购节能产品、环境标志产品认证机构名录的公告》（2019年第16号）以及最新的《节能产品政府采购品目清单》等规定执行</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环境标志产品：按照《关于调整优化节能产品、环境标志产品政府采购执行机制的通知》财库〔2019〕9号、《市场监管总局关于发布参与实施政府采购节能产品、环境标志产品认证机构名录的公告》（2019年第16号）以及最新的《节能产品政府采购品目清单》等规定执行</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促进中小企业发展的相关政策：</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面向的企业规模：中小企业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预留形式：设置专门采购包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预留比例：100%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面向的企业规模：中小企业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预留形式：设置专门采购包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预留比例：100%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面向的企业规模：中小企业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预留形式：设置专门采购包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预留比例：100%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面向的企业规模：中小企业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预留形式：设置专门采购包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预留比例：100%</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6、投标人的资格要求</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6.1法定条件：符合政府采购法第二十二条第一款规定的条件。</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6.2特定条件：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6.3是否接受联合体投标：</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采购包1：不接受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采购包2：不接受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采购包3：不接受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采购包4：不接受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※根据上述资格要求，电子投标文件中应提交的“投标人的资格及资信证明文件”详见招标文件第四章。</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7、招标文件的获取</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7.1、招标文件获取期限：详见招标公告或更正公告，若不一致，以更正公告为准。</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7.3、获取地点及方式：注册账号后，通过福建省政府采购网上公开信息系统以下载方式获取。</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7.4、招标文件售价：0元。</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8、投标截止</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8.1、投标截止时间：详见招标公告或更正公告，若不一致，以更正公告为准。</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9、开标时间及地点</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详见招标公告或更正公告，若不一致，以更正公告为准。</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10、公告期限</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10.1、招标公告的公告期限：自财政部和福建省财政厅指定的政府采购信息发布媒体最先发布公告之日起5个工作日。</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10.2、招标文件公告期限：招标文件随同招标公告一并发布，其公告期限与招标公告的公告期限保持一致。</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11、采购人：厦门市产品质量监督检验院</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地址： 福建省厦门市思明区湖滨南路170号三楼</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邮编： 361000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联系人： 林伟琦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联系电话： 05922699783</w:t>
      </w:r>
    </w:p>
    <w:p>
      <w:pPr>
        <w:pStyle w:val="4"/>
        <w:ind w:firstLine="480"/>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12、代理机构：厦门万翔招标有限公司</w:t>
      </w:r>
    </w:p>
    <w:p>
      <w:pPr>
        <w:pStyle w:val="4"/>
        <w:ind w:firstLine="96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地址： 中国（福建）自由贸易试验区厦门片区机场北路476号4楼</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邮编： 361000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联系人： 徐亮亮</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联系电话： 0592-5762339</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投标保证金账户</w:t>
            </w:r>
          </w:p>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开户名称： 厦门万翔招标有限公司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1、投标人应认真核对账户信息，将投标保证金汇入以上账户，并自行承担因汇错投标保证金而产生的一切后果。</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2、投标人在转账或电汇的凭证上应按照以下格式注明，以便核对：“（项目编号：***）的投标保证金”。</w:t>
            </w:r>
          </w:p>
        </w:tc>
      </w:tr>
    </w:tbl>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附2：采购标的一览表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采购包预算金额（元）: 2,700,000.00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采购包最高限价（元）: 2,700,000.00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标的名称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数量</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标的金额 （元）</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所属行业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气相色谱仪</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5.00</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2,700,000.00</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工业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采购包预算金额（元）: 1,200,000.00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采购包最高限价（元）: 1,200,000.00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标的名称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数量</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标的金额 （元）</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所属行业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高效液相色谱仪</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工业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采购包预算金额（元）: 1,200,000.00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采购包最高限价（元）: 1,200,000.00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标的名称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数量</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标的金额 （元）</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所属行业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超高效液相色谱仪</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工业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采购包预算金额（元）: 750,000.00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采购包最高限价（元）: 750,000.00</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标的名称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数量</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标的金额 （元）</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所属行业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离子色谱仪</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1187"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750,000.00</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工业</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报价内容</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气相色谱仪</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1384"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2,700,000.00</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（2）报价明细要求：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气相色谱仪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报价明细内容</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报价要求</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气相色谱仪</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气相色谱仪</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2,700,000.00</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报价内容</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高效液相色谱仪</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1384"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（2）报价明细要求：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高效液相色谱仪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报价明细内容</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报价要求</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高效液相色谱仪</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高效液相色谱仪</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报价内容</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超高效液相色谱仪</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1384"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（2）报价明细要求：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超高效液相色谱仪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报价明细内容</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报价要求</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超高效液相色谱仪</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超高效液相色谱仪</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1,200,000.00</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报价内容</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0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离子色谱仪</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55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1384"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750,000.00</w:t>
            </w:r>
          </w:p>
        </w:tc>
        <w:tc>
          <w:tcPr>
            <w:tcW w:w="138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（2）报价明细要求：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离子色谱仪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报价明细内容</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报价要求</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计量单位</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报价单位</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最高限价</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价款形式</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离子色谱仪</w:t>
            </w:r>
          </w:p>
        </w:tc>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离子色谱仪</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套</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元</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750,000.00</w:t>
            </w:r>
          </w:p>
        </w:tc>
        <w:tc>
          <w:tcPr>
            <w:tcW w:w="83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总价</w:t>
            </w:r>
          </w:p>
        </w:tc>
        <w:tc>
          <w:tcPr>
            <w:tcW w:w="124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第二章 投标人须知前附表</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招标文件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（第三章）</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是否组织现场考察或召开开标前答疑会：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采购包1：不组织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采购包2：不组织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采购包3：不组织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10.4</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投标文件的份数：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（1）可读介质（光盘或U盘） 0 份：投标人应将其上传至福建省政府采购网上公开信息系统的电子投标文件在该可读介质中另存 0 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10.7-（1）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是否允许中标人将本项目的非主体、非关键性工作进行分包：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采购包1：不允许合同分包；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采购包2：不允许合同分包；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采购包3：不允许合同分包；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10.8-（1）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确定中标候选人名单：</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采购包1：3名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采购包2：3名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采购包3：3名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本项目中标人的确定（以采购包为单位）：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 采购人应在政府采购招投标管理办法规定的时限内确定中标人。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（2）若出现中标候选人并列情形，则按照下列方式确定中标人：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①招标文件规定的方式：</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按评审后的综合得分由高到低顺序排列；综合得分相同的，按投标报价由低到高顺序排列；综合得分且投标报价相同的，按技术得分由高到低顺序排列；若综合得分、投标报价及技术得分均相同，则由评标委员会进行表决推荐。</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②若本款第①点规定方式为“无”，则按照下列方式确定：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③若本款第①、②点规定方式均为“无”，则按照下列方式确定：随机抽取。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（3）本项目确定的中标人家数：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采购包1：1名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采购包2：1名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采购包3：1名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合同签订时限： 自中标通知书发出之日起20个日历日内。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15.1-（2）</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15.4</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招标文件的质疑</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（1）潜在投标人可在质疑时效期间内对招标文件以书面形式提出质疑。</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（2）质疑时效期间：应在依法获取招标文件之日起7个工作日内向 厦门万翔招标有限公司 提出，依法获取招标文件的时间以福建省政府采购网上公开信息系统记载的为准。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监督管理部门： 厦门市财政局0592-2858291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财政部和福建省财政厅指定的政府采购信息发布媒体（以下简称：“指定媒体”）：</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（1）中国政府采购网，网址www.ccgp.gov.cn。</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（2）中国政府采购网福建分网（福建省政府采购网），网址zfcg.czt.fujian.gov.cn。</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其他事项：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(1)本项目代理服务费：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本项目收取代理服务费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代理服务费用收取对象：中标/成交供应商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收费标准：中标金额(万元)费率：[0―100]1.5%；（100－500]1.1%；（500-1000]0.8%。注：（1）代理服务费的收取按差额定率累进法计算,由中标供应商支付。（2）中标供应商以转账或汇款方式提交。（3）经评审，若所有采购标的均为中小企业（含个体工商户）制造的货物，或者监狱企业提供本单位制造的货物；或者残疾人福利性单位提供本单位制造的货物（或提供其他残疾人福利性单位制造的货物），其代理服务费按照上述服务收费标准下浮10%进行支付。（4）账户信息：开户名：厦门万翔招标有限公司。开户行：建行厦门自贸试验区航空港支行。账号：35101570201052504219。（5）代理服务费事宜联系人：陈小姐0592-5703367。</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(2)其他：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关于本国产品政策的补充说明：（1）投标人对其提供的产品出具《关于符合本国产品标准的声明函》（样式见第五章“11、补充格式附件”，以下简称《声明函》）或财政部会同有关部门规定的有关证明文件。出具符合要求的《声明函》或有关证明文件的，该产品视为本国产品，采购人、采购代理机构不得再要求投标人提供其他证明材料。投标人提供虚假《声明函》、虚假证明文件谋取中标的，依照《中华人民共和国政府采购法》等法律法规规定追究相应责任。 （2）采购代理机构应当随中标结果同时公告中标人提供的《声明函》或有关证明文件。 （3）投标人所出具的《声明函》应完整、准确。评审中发现《声明函》内容含义不明确、同类事项与投标文件表述不一致或者有明显文字错误等情况的，应当以书面形式要求投标人作出必要的澄清、说明或者补正。经澄清、说明或者补正的《声明函》仍然不符合《国务院办公厅关于在政府采购中实施本国产品标准及相关政策的通知》规定要求的，投标人提供的相关产品视为不符合本国产品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后有投标人须知前附表2，请勿遗漏。</w:t>
            </w:r>
          </w:p>
        </w:tc>
      </w:tr>
    </w:tbl>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（1）电子招标投标活动的专门规定适用本项目电子招标投标活动。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（2）将招标文件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 的内容修正为下列内容：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 后适用本项目的电子招标投标活动。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（3）将下列内容增列为招标文件的组成部分（以下简称：“增列内容”）适用本项目的电子招标投标活动，若增列内容与招标文件其他章节内容有冲突，应以增列内容为准：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①电子招标投标活动的具体操作流程以福建省政府采购网上公开信息系统设定的为准。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②关于电子投标文件：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a.投标人应按照福建省政府采购网上公开信息系统设定的评审节点编制电子投标文件，否则资格审查小组、评标委员会将按照不利于投标人的内容进行认定。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③关于证明材料或资料：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④关于“全称”、“投标人代表签字”及“加盖单位公章”：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a.在电子投标文件中，涉及“全称”和“投标人代表签字”的内容可使用打字录入方式完成。</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b.在电子投标文件中，涉及“加盖单位公章”的内容应使用投标人的CA证书完成，否则投标无效。</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c.在电子投标文件中，若投标人按照本增列内容第④点第b项规定加盖其单位公章，则出现无全称、或投标人代表未签字等情形，不视为投标无效。</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⑤关于投标人的CA证书：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a.投标人的CA证书应在系统规定时间内使用CA证书进行电子投标文件的解密操作，逾期未解密的视为放弃投标。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b.投标人的CA证书可采用信封（包括但不限于：信封、档案袋、文件袋等）作为外包装进行单独包装。外包装密封、不密封皆可。</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c.投标人的CA证书或外包装应标记“项目名称、项目编号、投标人的全称”等内容，以方便识别、使用。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d.投标人的CA证书应能正常、有效使用，否则产生不利后果由投标人承担责任。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⑥关于投标截止时间过后</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a.未按招标文件规定提交投标保证金的，其投标将按无效投标处理。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b.有下列情形之一的，其投标无效,其保证金不予退还或通过投标保函进行索赔：</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b1不同投标人的电子投标文件具有相同内部识别码；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b2不同投标人的投标保证金从同一单位或个人的账户转出；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b3投标人的投标保证金同一采购包下有其他投标人提交的投标保证金；</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b4不同投标人存在串通投标的其他情形。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⑧其他：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（1）登录福建省政府采购网厦门分网http:// 120.41.36.6/ → 【操作指南】，按指导手册指引操作。（2）请投标人及时提前办理CA。（3）不同投标人用同一台电脑或同一IP上传投标文件或同一账户缴交投标保证金的，经系统识别确认情况属实将判定为串通投标。（4）全文中带有“★”的条款为关键性条款，对这些关键性条款的任何负偏离或不满足将导致该投标作无效投标处理。（5）若招标文件第五章所述内容与其它部分的条款发生理解冲突，则以第五章所述内容为准；如招标文件发生变更，则相关条款的解释以更改通知为准。（6）经评标委员会认定要求澄清的证明文件必须在规定的时间内提供，否则其将不具有中标人的资格。</w:t>
            </w:r>
          </w:p>
        </w:tc>
      </w:tr>
    </w:tbl>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第三章 投标人须知</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一、总则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1、适用范围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1.1适用于招标文件载明项目的政府采购活动（以下简称：“本次采购活动”）。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2、定义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2.1“采购标的”指招标文件载明的需要采购的货物或服务。</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2.2“潜在投标人”指按照招标文件第一章第7条规定获取招标文件且有意向参加本项目投标的供应商。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2.3“投标人”指按照招标文件第一章第7条规定获取招标文件并参加本项目投标的供应商。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2.4“单位负责人”指单位法定代表人或法律、法规规定代表单位行使职权的主要负责人。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2.5“投标人代表”指投标人的单位负责人或“单位负责人授权书”中载明的接受授权方。</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二、投标人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3、合格投标人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3.1一般规定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（2）投标人的资格要求：详见招标文件第一章。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3.2若本项目接受联合体投标且投标人为联合体，则联合体各方应遵守本章第3.1条规定，同时还应遵守下列规定：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（1）联合体各方应提交联合体协议，联合体协议应符合招标文件规定。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（2）联合体各方不得再单独参加或与其他供应商另外组成联合体参加同一合同项下的投标。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（3）联合体各方应共同与采购人签订政府采购合同，就政府采购合同约定的事项对采购人承担连带责任。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（5）联合体一方放弃中标的，视为联合体整体放弃中标，联合体各方承担连带责任。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（6）如本项目不接受联合体投标而投标人为联合体的，或者本项目接受联合体投标但投标人组成的联合体不符合本章第3.2条规定的，投标无效。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4、投标费用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4.1除招标文件另有规定外，投标人应自行承担其参加本项目投标所涉及的一切费用。</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三、招标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5、招标文件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5.1招标文件由下述部分组成：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（1）投标邀请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（2）投标人须知前附表（表1、2）</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（3）投标人须知</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（4）资格审查与评标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（5）招标内容及要求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（6）政府采购合同（参考文本）</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（7）电子投标文件格式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（8）按照招标文件规定作为招标文件组成部分的其他内容（若有）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5.2招标文件的澄清或修改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 厦门万翔招标有限公司 可对已发出的招标文件进行必要的澄清或修改，但不得对招标文件载明的采购标的和投标人的资格要求进行改变。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（2）除本章第5.2条第（3）款规定情形外，澄清或修改的内容可能影响电子投标文件编制的， 厦门万翔招标有限公司 将在投标截止时间至少15个日历日前，在招标文件载明的指定媒体以更正公告的形式发布澄清或修改的内容。不足15个日历日的， 厦门万翔招标有限公司 将顺延投标截止时间及开标时间， 厦门万翔招标有限公司 和投标人受原投标截止时间及开标时间制约的所有权利和义务均延长至新的投标截止时间及开标时间。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（3）澄清或修改的内容可能改变招标文件载明的采购标的和投标人的资格要求的，本次采购活动结束， 厦门万翔招标有限公司 将依法组织后续采购活动（包括但不限于：重新招标、采用其他方式采购等）。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6、现场考察或开标前答疑会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6.1是否组织现场考察或召开开标前答疑会：详见招标文件第二章。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7、更正公告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7.1若 厦门万翔招标有限公司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7.2更正公告作为 厦门万翔招标有限公司 通知所有潜在投标人的书面形式。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8、终止公告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8.1若出现因重大变故导致采购任务取消情形， 厦门万翔招标有限公司 可终止招标并发布终止公告。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8.2终止公告作为 厦门万翔招标有限公司 通知所有潜在投标人的书面形式。</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9.1投标人可对招标文件载明的全部或部分采购包进行投标。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9.2投标人应对同一个采购包内的所有内容进行完整投标，否则投标无效。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9.3投标人代表只能接受一个投标人的授权参加投标，否则投标无效。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9.4单位负责人为同一人或存在直接控股、管理关系的不同供应商，不得同时参加同一合同项下的投标，否则投标无效。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9.7有下列情形之一的，视为投标人串通投标，其投标无效：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（1）不同投标人的电子投标文件由同一单位或个人编制；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（2）不同投标人委托同一单位或个人办理投标事宜；</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（3）不同投标人的电子投标文件载明的项目管理成员或联系人员为同一人；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（4）不同投标人的电子投标文件异常一致或投标报价呈规律性差异；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（5）不同投标人的电子投标文件相互混装；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（6）不同投标人的投标保证金从同一单位或个人的账户转出；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（7）有关法律、法规和规章及招标文件规定的其他串通投标情形。</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10.1电子投标文件的编制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（1）投标人应先仔细阅读招标文件的全部内容后，再进行电子投标文件的编制。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（2）电子投标文件应按照本章第10.2条规定编制其组成部分。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10.2电子投标文件由下述部分组成：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（1）资格及资信证明部分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②投标人的资格及资信证明文件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③投标保证金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（2）报价部分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①开标（报价）一览表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②投标（响应）报价明细表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③招标文件规定的价格扣除证明材料（若有）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④招标文件规定的加分证明材料（若有）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（3）技术商务部分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①标的说明一览表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②技术和服务要求响应表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③商务条件响应表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④投标人提交的其他资料（若有）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⑤招标文件规定作为电子投标文件组成部分的其他内容（若有）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10.3电子投标文件的语言</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（1）除招标文件另有规定外，电子投标文件应使用中文文本，若有不同文本，以中文文本为准。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10.4投标文件的份数：详见招标文件第二章。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10.5电子投标文件的格式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（1）除招标文件另有规定外，电子投标文件应使用招标文件第七章规定的格式。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（2）除招标文件另有规定外，电子投标文件应使用不能擦去的墨料或墨水打印、书写或复印。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（3）除招标文件另有规定外，电子投标文件应使用人民币作为计量货币。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（4）除招标文件另有规定外，签署、盖章应遵守下列规定：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①电子投标文件应加盖投标人的单位公章。若投标人代表为单位授权的委托代理人，应提供“单位授权书”。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②电子投标文件应没有涂改或行间插字，除非这些改动是根据 厦门万翔招标有限公司 的指示进行的，或是为改正投标人造成的应修改的错误而进行的。若有前述改动，应按照下列规定之一对改动处进行处理：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a.投标人代表签字确认；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b.加盖投标人的单位公章或校正章。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10.6投标报价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（1）投标报价超出最高限价将导致投标无效。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（2）最高限价由采购人根据价格测算情况，在预算金额的额度内合理设定。最高限价不得超出预算金额。</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10.7分包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（1）是否允许中标人将本项目的非主体、非关键性工作进行分包：详见招标文件第二章。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（3）招标文件允许中标人将非主体、非关键性工作进行分包的项目，有下列情形之一的，中标人不得分包：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①电子投标文件中未载明分包承担主体；</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②电子投标文件载明的分包承担主体不具备相应资质条件；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③电子投标文件载明的分包承担主体拟再次分包；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④享受中小企业扶持政策获得政府采购合同的，小微企业不得将合同分包给大中型企业，中型企业不得将合同分包给大型企业。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10.8投标有效期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（1）招标文件载明的投标有效期：详见招标文件第二章。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（2）电子投标文件承诺的投标有效期不得少于招标文件载明的投标有效期，否则投标无效。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（3）根据本次采购活动的需要， 厦门万翔招标有限公司 可于投标有效期届满之前书面要求投标人延长投标有效期，投标人应在 厦门万翔招标有限公司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10.9投标保证金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（1）投标保证金作为投标人按照招标文件规定履行相应投标责任、义务的约束及担保。</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（2）投标人以电子保函形式提交投标保证金的，保函的有效期应等于或长于电子投标文件承诺的投标有效期，否则投标无效。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（3）提交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③其他形式：</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④若本项目接受联合体投标且投标人为联合体，则联合体中的牵头方应按照本章第10.9条第（3）款第①、②、③点规定提交投标保证金。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※除招标文件另有规定外，未按照上述规定提交投标保证金将导致资格审查不合格。</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（4）退还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①在投标截止时间前撤回已提交的电子投标文件的投标人，其投标保证金将在 厦门万翔招标有限公司 收到投标人书面撤回通知之日起5个工作日内退回原账户。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②未中标人的投标保证金将在中标通知书发出之日起5个工作日内退回原账户。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③中标人的投标保证金将在政府采购合同签订之日起5个工作日内退回原账户；合同签订之日以福建省政府采购网上公开信息系统记载的为准。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④终止招标的， 厦门万翔招标有限公司 将在终止公告发布之日起5个工作日内退回已收取的投标保证金及其在银行产生的孳息。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⑤除招标文件另有规定外，质疑或投诉涉及的投标人，若投标保证金尚未退还，则待质疑或投诉处理完毕后不计利息原额退还。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※本章第10.9条第（4）款第①、②、③点规定的投标保证金退还时限不包括因投标人自身原因导致无法及时退还而增加的时间。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（6）有下列情形之一的，投标保证金将不予退还或通过投标保函进行索赔：</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①投标人串通投标；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②投标人提供虚假材料；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③投标人采取不正当手段诋毁、排挤其他投标人；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④投标截止时间后，投标人在投标有效期内撤销电子投标文件；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⑤招标文件规定的其他不予退还情形；</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⑥中标人有下列情形之一的：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a.除不可抗力外，因中标人自身原因未在中标通知书要求的期限内与采购人签订政府采购合同；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b.未按照招标文件、投标文件的约定签订政府采购合同或提交履约保证金。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※若上述投标保证金不予退还情形给采购人（采购代理机构）造成损失，则投标人还要承担相应的赔偿责任。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10.10电子投标文件的提交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（1）一个投标人只能提交一个电子投标文件，并按照招标文件第一章规定在系统上完成上传、解密操作。</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10.11电子投标文件的补充、修改或撤回</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（1）投标截止时间前，投标人可对所提交的电子投标文件进行补充、修改或撤回，并书面通知 厦门万翔招标有限公司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（2）补充、修改的内容应按照本章第10.5条第（4）款规定进行签署、盖章，并按照本章第10.10条规定提交，否则将被拒收。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※按照上述规定提交的补充、修改内容作为电子投标文件组成部分。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10.12除招标文件另有规定外，有下列情形之一的，投标无效：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（1）电子投标文件未按照招标文件要求签署、盖章；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（2）不符合招标文件中规定的资格要求；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（3）投标报价超过招标文件中规定的预算金额或最高限价；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（4）电子投标文件含有采购人不能接受的附加条件；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（5）有关法律、法规和规章及招标文件规定的其他无效情形。</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五、开标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11、开标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 厦门万翔招标有限公司 将在招标文件载明的开标时间及地点主持召开开标会，并邀请投标人参加。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11.2开标会的主持人、唱标人、记录人及其他工作人员（若有）均由 厦门万翔招标有限公司 派出，现场监督人员（若有）可由有关方面派出。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11.4开标会应遵守下列规定：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（5）若投标人未到开标现场参加开标会，也未通过远程参加开标会的，视同认可开标结果。</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厦门万翔招标有限公司 提出任何疑义或要求（包括质疑）。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11.5投标截止时间后，参加投标的投标人不足三家的，不进行开标。同时，本次采购活动结束， 厦门万翔招标有限公司 将依法组织后续采购活动（包括但不限于：重新招标、采用其他方式采购等）。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11.6投标截止时间后撤销投标的处理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投标截止时间后，投标人在投标有效期内撤销投标的，其撤销投标的行为无效。</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六、中标与政府采购合同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12、中标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12.1本项目推荐的中标候选人家数：详见招标文件第二章。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12.2本项目中标人的确定：详见招标文件第二章。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12.3中标公告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（1）中标人确定之日起2个工作日内， 厦门万翔招标有限公司 将在招标文件载明的指定媒体以中标公告的形式发布中标结果。</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（2）中标公告的公告期限为1个工作日。</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12.4中标通知书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（1）中标公告发布的同时， 厦门万翔招标有限公司 将向中标人发出中标通知书。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（2）中标通知书发出后，采购人不得违法改变中标结果，中标人无正当理由不得放弃中标。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13、政府采购合同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13.2签订时限：详见须知前附表1的13.2。</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13.3政府采购合同的履行、违约责任和解决争议的方法等适用民法典。</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13.4采购人与中标人应根据政府采购合同的约定依法履行合同义务。</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13.5政府采购合同履行过程中，采购人若需追加与合同标的相同的货物或服务，则追加采购金额不得超过原合同采购金额的10%。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13.6中标人在政府采购合同履行过程中应遵守有关法律、法规和规章的强制性规定（即使前述强制性规定有可能在招标文件中未予列明）。</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七、询问、质疑与投诉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14、询问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14.1潜在投标人或投标人对本次采购活动的有关事项若有疑问，可向 厦门万翔招标有限公司 提出询问， 厦门万翔招标有限公司 将按照政府采购法及实施条例的有关规定进行答复。</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15、质疑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（2）质疑人应按照招标文件第二章规定方式提交质疑函。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（3）质疑函应包括下列主要内容：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①质疑人的基本信息，至少包括：全称、地址、邮政编码等；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②所质疑项目的基本信息，至少包括：项目编号、项目名称等；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③所质疑的具体事项（以下简称：“质疑事项”）；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④针对质疑事项提出的明确请求，前述明确请求指质疑人提出质疑的目的以及希望 厦门万翔招标有限公司 对其质疑作出的处理结果，如：暂停招标投标活动、修改招标文件、停止或纠正违法违规行为、中标结果无效、废标、重新招标等；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⑤针对质疑事项导致质疑人自身权益受到损害的必要证明材料，至少包括：</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a.质疑人代表的身份证明材料：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a2若本项目接受自然人投标且质疑人为自然人的，提供本人的身份证复印件。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b.其他证明材料（即事实依据和必要的法律依据）包括但不限于下列材料：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b1所质疑的具体事项是与自己有利害关系的证明材料；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b2质疑函所述事实存在的证明材料，如：采购文件、采购过程或中标结果违法违规或不符合采购文件要求等证明材料；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b3依法应终止采购程序的证明材料；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b4应重新采购的证明材料；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b5采购文件、采购过程或中标、成交结果损害自己合法权益的证明材料等；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⑥质疑人代表及其联系方法的信息，至少包括：姓名、手机、电子信箱、邮寄地址等。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⑦提出质疑的日期。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※质疑人为法人或其他组织的，质疑函应由单位负责人或委托代理人签字或盖章，并加盖投标人的单位公章。质疑人为自然人的，质疑函应由本人签字。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15.2对不符合本章第15.1条规定的质疑，将按照下列规定进行处理：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（1）不符合其中第（1）、（2）条规定的，书面告知质疑人不予受理及其理由。</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（2）不符合其中第（3）条规定的，书面告知质疑人修改、补充后在规定时限内重新提交质疑函。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15.3对符合本章第15.1条规定的质疑，将按照政府采购法及实施条例、政府采购质疑和投诉办法的有关规定进行答复。</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15.4招标文件的质疑：详见招标文件第二章。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16、投诉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16.2投诉应有明确的请求和必要的证明材料，投诉的事项不得超出已质疑事项的范围。</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八、政府采购政策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17、政府采购政策由财政部根据国家的经济和社会发展政策并会同国家有关部委制定，包括但不限于下列具体政策要求：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17.1本国产品与非本国产品相关约定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17.1.1本国产品</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（3）对本国产品的支持政策 政府采购活动中既有本国产品又有非本国产品参与竞争的，依法对本国产品给予价格评审优惠，对本国产品的报价给予20%的价格扣除，用扣除后的价格参与评审。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17.1.2 非本国产品</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17.1.2.1 进口产品：指通过中国海关报关验放进入中国境内且产自关境外的产品，其中：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（2）凡在海关特殊监管区域内企业生产或加工（包括从境外进口料件）销往境内其他地区的产品，不作为政府采购项下进口产品。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（3）对从境外进入海关特殊监管区域，再经办理报关手续后从海关特殊监管区进入境内其他地区的产品，认定为进口产品。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（4）招标文件列明不允许或未列明允许进口产品参加投标的，均视为拒绝进口产品参加投标。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17.1.2.2 其它非本国产品：指非进口产品且不符合本国产品标准的产品。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（1）中小企业指符合下列条件的中型、小型、微型企业：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②符合中小企业划分标准的个体工商户，在政府采购活动中视同中小企业。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（2）在政府采购活动中，供应商提供的货物、工程或者服务符合下列情形的，享受本办法规定的中小企业扶持政策：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①在货物采购项目中，货物由中小企业制造，即货物由中小企业生产且使用该中小企业商号或者注册商标；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②在工程采购项目中，工程由中小企业承建，即工程施工单位为中小企业；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③在服务采购项目中，服务由中小企业承接，即提供服务的人员为中小企业依照《中华人民共和国劳动合同法》订立劳动合同的从业人员。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在货物采购项目中，供应商提供的货物既有中小企业制造货物，也有大型企业制造货物的，不享受本办法规定的中小企业扶持政策。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（3）投标人应当按照招标文件明确的采购标的对应行业的划分标准出具中小企业声明函。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①监狱企业参加采购活动时，应提供由省级以上监狱管理局、戒毒管理局（含新疆生产建设兵团）出具的属于监狱企业的证明文件。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②监狱企业视同小型、微型企业。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（5）残疾人福利性单位指同时符合下列条件的单位：</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①安置的残疾人占本单位在职职工人数的比例不低于25%（含25%），并且安置的残疾人人数不少于10人（含10人）；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②依法与安置的每位残疾人签订了一年以上（含一年）的劳动合同或服务协议；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③为安置的每位残疾人按月足额缴纳了基本养老保险、基本医疗保险、失业保险、工伤保险和生育保险等社会保险费；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④通过银行等金融机构向安置的每位残疾人，按月支付了不低于单位所在区县适用的经省级人民政府批准的月最低工资标准的工资；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⑤提供本单位制造的货物、承担的工程或服务，或提供其他残疾人福利性单位制造的货物（不包括使用非残疾人福利性单位注册商标的货物）。</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17.4信用记录指由财政部确定的有关网站提供的相关主体信用信息。信用记录的查询及使用应符合财政部文件（财库[2016]125号）规定。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17.5为落实政府采购政策需满足的要求：详见招标文件第一章。</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九、本项目的有关信息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18.1指定媒体：详见招标文件第二章。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18.2本项目的潜在投标人或投标人应随时关注指定媒体，否则产生不利后果由其自行承担。</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十、其他事项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19、其他事项：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19.2其他：详见招标文件第二章。</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第四章 资格审查与评标</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一、资格审查</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1、开标结束后，由 厦门万翔招标有限公司 负责资格审查小组的组建及资格审查工作的组织。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1.1资格审查小组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资格审查小组由3人组成，并负责具体审查事务，其中由采购人派出的采购人代表至少1人，由厦门万翔招标有限公司派出的工作人员至少1人，其余1人可为采购人代表或厦门万翔招标有限公司的工作人员。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1.2资格审查的依据是招标文件和电子投标文件。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1.3资格审查的范围及内容：电子投标文件（资格及资信证明部分），具体如下：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（2）“投标人的资格及资信证明文件”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①一般资格证明文件：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单位授权书</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单位授权书</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单位授权书</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单位授权书</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※备注说明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①投标人应根据自身实际情况提供上述资格要求的证明材料，格式可参考招标文件第七章提供。</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②投标人提供的相应证明材料复印件均应符合：内容完整、清晰、整洁，并由投标人加盖其单位公章。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③根据招标文件第四章第一点资格审查的1.3“④其他资格证明文件”要求，允许供应商采用资格承诺制的并提供符合要求的资格承诺函，视为满足招标文件的资格要求。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④.其他资格证明文件：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信用记录要求（招标文件其他地方要求与本条款要求不一致的，以本条款要求为准）</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1、信用信息查询渠道：资格审查小组通过“信用中国”网站（www.creditchina.gov.cn）、中国政府采购网（www.ccgp.gov.cn）、信用中国(福建厦门)（credit.xm.gov.cn）查询所有供应商的信用信息。 2、截止时点：查询供应商截止开标当天前三年内的信用信息。 3、查询记录和证据留存方式：资格审查小组将查询结果网页打印后随采购文件一并存档。 4、信用信息的使用规则：（1）查询结果显示供应商存在不良信用记录（包含列入失信被执行人、重大税收违法失信主体、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 5、供应商无需提供信用信息查询结果。若供应商自行提供查询结果的，仍以资格审查人员查询结果为准。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关于“财务状况报告”、“依法缴纳税收证明材料”及“依法缴纳社会保障资金证明材料”的补充说明</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因相关政策享受缓缴或免缴社保资金、税款的中小企业，无法提供相关社保、税收缴纳证明材料的，提供有关情况说明视同社保、税收缴纳证明材料提交完整。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本项目属于专门面向中小微企业采购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为专门面向中小微企业采购，投标人所投所有采购标的须均为中小微企业制造，并提供中小企业声明函，同时本项目不再执行价格评审优惠的扶持政策。特别说明：（1）中小企业划分标准文件依据：财政部《关于印发中小企业划型标准规定的通知》（工信部联企业〔2011〕300号）。 （2）本项目所属行业为工业。（3）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4）监狱企业、残疾人福利性单位视同小型、微型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本采购包属于专门面向中小企业采购。</w:t>
            </w:r>
          </w:p>
        </w:tc>
        <w:tc>
          <w:tcPr>
            <w:tcW w:w="4614"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本采购包为专门面向中小企业采购，投标人须提供中小企业声明函。监狱企业、残疾人福利性单位视同小型、微型企业。</w:t>
            </w:r>
          </w:p>
        </w:tc>
      </w:tr>
    </w:tbl>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（3）投标保证金。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未按照招标文件规定提交投标保证金</w:t>
            </w: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资格审查不合格项：无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资格审查不合格项：无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资格审查不合格项：无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资格审查不合格项：无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2、资格审查情况不得私自外泄，有关信息由 厦门万翔招标有限公司 统一对外发布。</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3、资格审查合格的投标人不足三家的，不进行评标。同时，本次采购活动结束， 厦门万翔招标有限公司 将依法组织后续采购活动（包括但不限于：重新招标、采用其他方式采购等）。</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二、评标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4、资格审查结束后，由 厦门万翔招标有限公司 负责评标委员会的组建及评标工作的组织。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5、评标委员会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由采购人代表和评审专家两部分共5人组成，其中由福建省政府采购评审专家库产生的评审专家4人，由采购人派出的采购人代表1人。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5.2评标委员会负责具体评标事务，并按照下列原则依法独立履行有关职责：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（1）评标应保护国家利益、社会公共利益和各方当事人合法权益，提高采购效益，保证项目质量。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（2）评标应遵循公平、公正、科学、严谨和择优原则。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（3）评标的依据是招标文件和电子投标文件。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（4）应按照招标文件规定推荐中标候选人或确定中标人。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（5）评标应遵守下列评标纪律：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①评标情况不得私自外泄，有关信息由 厦门万翔招标有限公司 统一对外发布。</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②对 厦门万翔招标有限公司 或投标人提供的要求保密的资料，不得摘记翻印和外传。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③不得收受投标人或有关人员的任何礼物，不得串联鼓动其他人袒护某投标人。若与投标人存在利害关系，则应主动声明并回避。</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④全体评委应按照招标文件规定进行评标，一切认定事项应查有实据且不得弄虚作假。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⑤评标中应充分发扬民主，推荐中标候选人或确定中标人后要服从评标报告。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※对违反评标纪律的评委，将取消其评委资格，对评标工作造成严重损失者将予以通报批评乃至追究法律责任。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6、评标程序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6.1评标前的准备工作</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（1）全体评委应认真审阅招标文件，了解评委应履行或遵守的职责、义务和评标纪律。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6.2符合性审查</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（1）评标委员会依据招标文件的实质性要求，对通过资格审查的电子投标文件进行符合性审查，以确定其是否满足招标文件的实质性要求。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（2）满足招标文件的实质性要求指电子投标文件对招标文件实质性要求的响应不存在重大偏差或保留。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（5）评标委员会对所有投标人都执行相同的程序和标准。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（6）有下列情形之一的，符合性审查不合格：</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①项目一般情形：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★3.1.2 每台GC均标配嵌入式一体化液晶彩色触摸电容屏，屏幕尺寸不小于7英寸。（需提供仪器图片及技术说明书进行佐证）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★3.1.12柱温箱体积：≥13L。（提供仪器软件截图或技术说明书作为佐证资料，现场安装时进行验收）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技术符合性3</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★3.4.1样品盘位数：≥110位；同时或程序加热位数：≥12位。（提供仪器实物图片证明或制造商技术说明书进行佐证）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技术符合性4</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3.5.7高分子聚合物专用谱库必须为独立的谱库软件，必须包含UA-5色谱柱和UA-WAX柱的色谱图信息，必须包含EGA库，聚合物库，裂解产物库和添加剂库，软件中必须含有大于1300种聚合物的EGA图谱和聚合物谱图可供检索，必须含有大于500种高分子常用添加剂图谱可供检索（需提供独立谱库软件版本截图证明，及提供官方1300聚合物清单和500种添加剂清单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技术符合性5</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★3.8.1最低检测限：&lt;3.8fg/mL（林丹），采用标准校验条件。（投标人需提供技术说明书加以佐证）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★1）本项目每个合同包均设有政府采购最高控制价，最高控制价最迟在投标截止15天前发布。投标人所报价格若超过最高控制价，否则其作无效投标处理。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别说明（投标人必须在投标文件中做出承诺）：（1）投标总价仅作为合同签订的暂定价格，本项目所产生的一切费用需报送厦门市财政审核中心审核。（2）投标人需承诺最终结算以厦门市财政审核中心审定的结果为准并加盖公章，且投标人需承诺同意配合施工期、验收等相关工作。（3）合同费用拨付需在财政费用拨至采购人帐户后支付。</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★2.1.9内置自动缓冲盐配置功能：可实现自动配置缓冲盐浓度和pH值梯度变化，准确度: ±0.1。（需提供软件或其他官方文献截图证明）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★3.1配置甲骨文数据库（无需标配，可另行嵌入），保证数据的安全性和稳定性。（需提供软件数据库截图证明）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★1）本项目每个合同包均设有政府采购最高控制价，最高控制价最迟在投标截止15天前发布。投标人所报价格若超过最高控制价，否则其作无效投标处理。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别说明（投标人必须在投标文件中做出承诺）：（1）投标总价仅作为合同签订的暂定价格，本项目所产生的一切费用需报送厦门市财政审核中心审核。（2）投标人需承诺最终结算以厦门市财政审核中心审定的结果为准并加盖公章，且投标人需承诺同意配合施工期、验收等相关工作。（3）合同费用拨付需在财政费用拨至采购人帐户后支付。</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★3.1配置甲骨文数据库（可另行嵌入），保证数据的安全性和稳定性。（需提供软件数据库截图证明）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★1）本项目每个合同包均设有政府采购最高控制价，最高控制价最迟在投标截止15天前发布。投标人所报价格若超过最高控制价，否则其作无效投标处理。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别说明（投标人必须在投标文件中做出承诺）：（1）投标总价仅作为合同签订的暂定价格，本项目所产生的一切费用需报送厦门市财政审核中心审核。（2）投标人需承诺最终结算以厦门市财政审核中心审定的结果为准并加盖公章，且投标人需承诺同意配合施工期、验收等相关工作。（3）合同费用拨付需在财政费用拨至采购人帐户后支付。</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技术符合性1</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★4.1.3流速增幅：≤0.001 mL/min。（提供原厂公开彩页资料或技术白皮书证明）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技术符合性2</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★4.3.2温度稳定性：≤0.001℃。（提供原厂公开彩页资料或技术白皮书证明）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★1）本项目每个合同包均设有政府采购最高控制价，最高控制价最迟在投标截止15天前发布。投标人所报价格若超过最高控制价，否则其作无效投标处理。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31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别说明（投标人必须在投标文件中做出承诺）：（1）投标总价仅作为合同签订的暂定价格，本项目所产生的一切费用需报送厦门市财政审核中心审核。（2）投标人需承诺最终结算以厦门市财政审核中心审定的结果为准并加盖公章，且投标人需承诺同意配合施工期、验收等相关工作。（3）合同费用拨付需在财政费用拨至采购人帐户后支付。</w:t>
            </w:r>
          </w:p>
        </w:tc>
      </w:tr>
    </w:tbl>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②本项目规定的其他情形：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6.3澄清有关问题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（3）电子投标文件报价出现前后不一致的，除招标文件另有规定外，按照下列规定修正：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①开标（报价）一览表内容与电子投标文件中相应内容不一致的，以开标（报价）一览表为准；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②大写金额和小写金额不一致的，以大写金额为准；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③单价金额小数点或百分比有明显错位的，以开标（报价）一览表的总价为准，并修改单价；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④总价金额与按照单价汇总金额不一致的，以单价金额计算结果为准。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※同时出现两种以上不一致的，按照前款规定的顺序修正。修正后的报价应按照本章第6.3条第（1）、（2）款规定经投标人确认后产生约束力，投标人不确认的，其投标无效。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（4）关于细微偏差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②评标委员会将以书面形式要求存在细微偏差的投标人在评标委员会规定的时间内予以补正。若无法补正，则评标委员会将按照不利于投标人的内容进行认定。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（5）关于投标描述（即电子投标文件中描述的内容）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①投标描述前后不一致且不涉及证明材料的：按照本章第6.3条第（1）、（2）款规定执行。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②投标描述与证明材料不一致或多份证明材料之间不一致的：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a.评标委员会将要求投标人进行书面澄清，并按照不利于投标人的内容进行评标。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6.4比较与评价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（1）按照本章第7条载明的评标方法和标准，对符合性审查合格的电子投标文件进行比较与评价。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（2）关于相同品牌产品（政府采购服务类项目不适用本条款规定）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a.招标文件规定的方式：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b.招标文件未规定的，采取随机抽取方式确定，其他投标无效。</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a.招标文件规定的方式：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评审得分相同，则投标报价较低的同品牌投标人作为中标候选人推荐；若评审得分及投标报价均相同，则技术得分较高的同品牌投标人作为中标候选人推荐；若投标报价、评审得分及技术得分均相同，则由评标委员会进行表决推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b.招标文件未规定的，采取随机抽取方式确定，其他同品牌投标人不作为中标候选人。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③非单一产品采购项目，多家投标人提供的核心产品品牌相同的，按照本章第6.4条第（2）款第①、②规定处理。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（3）漏（缺）项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①招标文件中要求列入报价的费用（含配置、功能），漏（缺）项的报价视为已经包括在投标总价中。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②对多报项及赠送项的价格评标时不予核减，全部进入评标价评议。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6.5推荐中标候选人：详见本章第7.2条规定。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6.6编写评标报告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（1）评标报告由评标委员会负责编写。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（2）评标报告应包括下列内容：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①招标公告刊登的媒体名称、开标日期和地点；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②投标人名单和评标委员会成员名单；</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③评标方法和标准；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④开标记录和评标情况及说明，包括无效投标人名单及原因；</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⑤评标结果，包括中标候选人名单或确定的中标人；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⑥其他需要说明的情况，包括但不限于：评标过程中投标人的澄清、说明或补正，评委更换等。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6.8评委对需要共同认定的事项存在争议的，应按照少数服从多数的原则进行认定。持不同意见的评委应在评标报告上签署不同意见及理由，否则视为同意评标报告。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6.9在评标过程中发现投标人有下列情形之一的，评标委员会应认定其投标无效，并书面报告本项目监督管理部门：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（1）恶意串通（包括但不限于招标文件第三章第9.7条规定情形）；</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（2）妨碍其他投标人的竞争行为；</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（3）损害采购人或其他投标人的合法权益。</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6.10评标过程中，有下列情形之一的，应予废标：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（1）符合性审查合格的投标人不足三家的；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（2）有关法律、法规和规章规定废标的情形。</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※若废标，则本次采购活动结束， 厦门万翔招标有限公司 将依法组织后续采购活动（包括但不限于：重新招标、采用其他方式采购等）。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7、评标方法和标准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7.1评标方法：</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采购包4：综合评分法</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7.2评标标准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（1）投标文件满足招标文件全部实质性要求，且按照评审因素的量化指标评审得分（即评标总得分）最高的投标人为中标候选人。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价格项（F1×A1）满分为3</w:t>
      </w:r>
      <w:r>
        <w:rPr>
          <w:rFonts w:hint="eastAsia" w:ascii="仿宋_GB2312" w:hAnsi="仿宋_GB2312" w:eastAsia="仿宋_GB2312" w:cs="仿宋_GB2312"/>
          <w:color w:val="000000" w:themeColor="text1"/>
          <w:lang w:val="en-US"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.0000分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适用对象</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0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519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节能、环境标志产品</w:t>
            </w:r>
          </w:p>
        </w:tc>
        <w:tc>
          <w:tcPr>
            <w:tcW w:w="1038"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20.00%</w:t>
            </w:r>
          </w:p>
        </w:tc>
        <w:tc>
          <w:tcPr>
            <w:tcW w:w="519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节能、环境标志产品：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供应商应分别明确节能或环境标志产品的货物名称、单价、数量、总价、认证种类，并提供国家确定的认证机构出具的、处于有效期之内的节能产品、环境标志产品认证证书，否则自行承担无法享受价格扣除的不利后果。此外，若投标人对节能或环境标志产品的报价明显高于其他同类产品的报价，投标人应按评标委员会要求作出说明并提供相关证明材料，不能合理说明或不能提供相关证明材料的，自行承担无法享受价格扣除的不利后果。若节能、环境标志产品仅是构成报价产品的部件、组件或零件，则该报价产品不享受鼓励优惠政策。4、国家确定的认证机构详见《市场监管总局关于发布参与实施政府采购节能产品、环境标志产品认证机构名录的公告》（2019年第16号）。 二、对本国产品的支持政策：（1）本项目适用《国务院办公厅关于在政府采购中实施本国产品标准及相关政策的通知》（国办发〔2025〕34 号，以下简称《通知》）规定的本国产品标准及相关政策，本国产品标准适用于货物，包括政府采购货物项目和服务项目中涉及的货物。适用本国产品标准的货物具体是指《政府采购品目分类目录》 中的货物类产品，但不包括其中的房屋和构筑物，文物和陈列品，图书和档案，特种动植物，农林牧渔业产品，矿与矿物， 电力、城市燃气、蒸汽和热水、水，食品、饮料和烟草原料，无形资产。（2）本项目中，国有企业、民营企业、外资企业等各类经营主体平等享受本国产品政府采购支持政策，采购人及采购代理机构对各类经营主体一视同仁、平等对待，无差别待遇或歧视待遇，不指定品牌、不限制品牌注册地及所有者。（3）本项目所称本国产品，是指符合《通知》第一条规定条件的产品：①在中国境内生产，即于中华人民共和国关境内经制造、加工、组装等工序实现属性改变，形成有新名称、新特征（用途）的新产品，《通知》列明的 5 类细微操作不属于属性改变；②在中国境内生产的组件成本占比达到财政部会同行业主管部门规定比例（在分产品比例要求实施前，仅需满足前款境内生产条件即可视同本国产品）；③特定产品在满足前两项条件基础上，其关键组件、关键工序符合财政部会同行业主管部门确定的境内生产/完成要求。（4）产品在中国境内生产的组件成本核算，严格按照《通知》附件 1《中国境内生产的组件成本核算基本规则》执行，以产品二级组件成本核算为原则，一级组件可满足判定需求的按一级组件核算。（5）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6）对符合本国产品标准的产品/供应商报价执行 20%价格扣除的评审优惠，扣除后的价格作为评审价格参与评审，具体规则如下： ①单一产品情形：投标产品为单一产品，且投标人已提交合规《声明函》证明该产品为本国产品的，对该产品的投标报价给予 20%的价格扣除。 ②多产品组合情形：采购项目/采购包包含多种产品的，投标人提供的符合本国产品标准的产品成本之和 ÷ 投标人提供的全部产品成本之和≥80%的，对该投标人提交的本项目/采购包全部产品总报价给予 20%的价格扣除。 ③上述产品成本均以投标人投标文件中载明的真实成本数据、采购合同、进货记录等会计核算数据为依据；价格扣除仅用于评审阶段的价格比较，不改变投标人的投标报价及中标后的签约结算价格。 ④中华人民共和国缔结或共同参加的国际条约、协定对政府采购本国产品政策另有规定的，从其规定。（7）未提供《关于符合本国产品标准的声明函》的不给予价格评审优惠。【说明：因系统目前尚未单独开发本国产品价格扣除模块，投标人可将符合上述要求的相关证明材料上传至本部分。表格中价格扣除比例“20%”非价格扣除的最终比例，投标人同时符合上述多个价格评审扣除优惠政策的，均在投标人原始报价基础上计算，并用扣除后的价格参与评审。】</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其他：无</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技术项（F2×A2）满分为5</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3.1.10具有灵活的扩展功能，最多可同时安装和运行两个进样口和四个检测器，配备不少于六个气相色谱柱智能接口，智能钥匙可自动识别色谱柱型号规格和使用信息，无需在软件上设置。（提供仪器实物图片或技术说明书进行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3.3.7进样器具有自动标液配制、自动稀释、柱前衍生、加热和制冷等扩展功能，加热温度最大可以到80℃，加热时间不小于60min。（提供技术说明书进行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3.4.11顶空进样器集成GC通讯，以直接在GC触摸屏界面上控制并查看顶空进样器的状态信息，可设定顶空温度、时间等顶空参数。（提供GC触摸屏控制顶空的实物图片进行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投标人所投设备的技术参数完全满足“▲3.8.3微量池体积＜200ul,可最大程度减小污染并优化灵敏度。（投标人需提供微池图片或技术说明书加以佐证）”的得3分，否则不得分。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投标人所投设备的技术参数完全满足“▲3.9.1 MDL &lt; 45 fg P/s，采用甲基对硫磷时 &lt; 2.5 Pg S/s 。（投标人需提供技术说明书加以佐证）”的得3分，否则不得分。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投标人所投设备的技术参数完全满足“▲3.10.1 MDL &lt; 0.3 pg N/s，采用偶氮苯/马拉硫磷混合物时 &lt; 0.04 pg P/s。（投标人需提供技术说明书加以佐证）”的得3分，否则不得分。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投标人所投设备的技术参数完全满足“▲3.11.8气相色谱同一个检测器同时设置不低于8路信号，并可设置同时出不低于8路色谱图。（提供仪器软件截图或技术说明书作为佐证资料）”的得3分，否则不得分。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3.11.9待机模式：仪器做样结束后，自动进入待机模式，柱温箱温度可自动调节至预设温度，无需单独设立程序升降温方法。（提供仪器软件截图或技术说明书作为佐证资料）”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投标人所投设备的技术参数完全满足“气相耗材要求【气体捕集阱3套、石墨密封垫60个、柱螺母24个、10uL进样针30个、色谱柱12个（HP-5柱30m×0.32mm×0.25um 6根、CP-WAX柱50 m×0.25 mm×0.20μm 2根、DB-WAXetr柱30m×0.32mm×0.25um 2根、J&amp;W DB-WAX 超高惰性柱60m×0.25 mm×0.25 um 1根、HP-88柱100mX0.25 mmX0.20μm l根）、20ml顶空瓶和盖600个、2ml样品瓶和盖1200个、分流平板6个、分流衬管60个、分流衬管20个、隔垫200个、石墨密封垫60个、石墨堵头10个】【气体捕集阱1套、O型圈10个、石墨密封垫40个、柱螺母2个、10uL进样针6个、色谱柱4根（HP-5柱30m×0.32mm×0.25um、DB-WAXetr色谱柱或等效柱1根30m×0.32mm×1.00μm 、GB/T 29610用VF-5HT石英毛细管柱或等效柱1根15m×0.25mm×0.1μm、GB/T 39107用DB-624 UI色谱柱或等效柱1根60m×0.25mm×1.4μm）、分流平板1个、分流/不分流衬管25个、不分流衬管25个、隔垫200个、手拧式柱螺母2个、2 ml 螺纹口样品瓶（带蓝色瓶盖）500个等】”的得2分，否则不得分。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投标人所投设备的技术参数完全满足“3.1.1具备远程智能访问功能，在不开启电脑和色谱工作站的情况下，可远程直接连接仪器主机IP地址，并且对仪器采集方法和序列进行编辑”的得2分，否则不得分。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投标人所投设备的技术参数完全满足“3.1.11最多可支持10个阀”的得2分，否则不得分。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投标人所投设备的技术参数完全满足“3.3.1除了洗瓶位和废液瓶位以外，单个自动进样器和扩展盘2ml样品瓶位数不少于160位，非三合一多功能进样器”的得2分，否则不得分。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3.3.2为保证使用灵活性，扩展盘可按照实际需求是否安装，除去扩展盘后，除了洗瓶位和废液瓶位以外，单个2ml样品盘位可维持16位，非三合一多功能进样器”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投标人所投设备的技术参数完全满足“3.4.4样品瓶支持10、20和22mL，在单次运行序列中可以使用不同尺寸的样品瓶。”的得2分，否则不得分。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投标人所投设备的技术参数完全满足“3.4.5在常规提取模式下采用重叠加热方式，可以容纳≥12个样品瓶，同时可以保持每个样品瓶恒定的加热时间。”的得2分，否则不得分。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投标人所投设备的技术参数完全满足“3.5.1可实现四种分析方式：单纯瞬间裂解 (Single-Shot Py)，热解吸/瞬间裂解组合 (Double Shot Analysis)，释放气体分析 (EGA)，切割－释放气体分析 (Heart-Cut EGA)”的得2分，否则不得分。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投标人所投设备的技术参数完全满足“3.5.4大于45位自动进样器：自动圆盘式进样器，进样器可自动实现样品杯垂直掉入裂解炉，自动收集裂解完成后的样品杯，同时兼容四种裂解模式”的得2分，否则不得分。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投标人所投设备的技术参数完全满足“3.6.1独立电子压力/流量控制（EPC）”的得2分，否则不得分。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投标人所投设备的技术参数完全满足“3.6.3最高使用温度450℃，自动灭火检测，自动点火”的得2分，否则不得分。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w:t>
            </w:r>
          </w:p>
        </w:tc>
        <w:tc>
          <w:tcPr>
            <w:tcW w:w="831" w:type="dxa"/>
          </w:tcPr>
          <w:p>
            <w:pPr>
              <w:pStyle w:val="4"/>
              <w:jc w:val="right"/>
              <w:rPr>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投标人所投设备的技术参数完全满足“3.9.6同一FPD检测器可支持双波长检测。”的得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21</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14:textFill>
                  <w14:solidFill>
                    <w14:schemeClr w14:val="tx1"/>
                  </w14:solidFill>
                </w14:textFill>
              </w:rPr>
              <w:t>3.4.9</w:t>
            </w:r>
            <w:r>
              <w:rPr>
                <w:rFonts w:hint="eastAsia" w:ascii="仿宋_GB2312" w:hAnsi="仿宋_GB2312" w:eastAsia="仿宋_GB2312" w:cs="仿宋_GB2312"/>
                <w:color w:val="000000" w:themeColor="text1"/>
                <w:sz w:val="20"/>
                <w:szCs w:val="20"/>
                <w14:textFill>
                  <w14:solidFill>
                    <w14:schemeClr w14:val="tx1"/>
                  </w14:solidFill>
                </w14:textFill>
              </w:rPr>
              <w:t>顶空进样峰面积重现性：≤0.7% RSD</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22</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sz w:val="20"/>
                <w:szCs w:val="20"/>
                <w14:textFill>
                  <w14:solidFill>
                    <w14:schemeClr w14:val="tx1"/>
                  </w14:solidFill>
                </w14:textFill>
              </w:rPr>
              <w:t>3.7.3线性范围：≥10</w:t>
            </w:r>
            <w:r>
              <w:rPr>
                <w:rFonts w:hint="eastAsia" w:ascii="仿宋_GB2312" w:hAnsi="仿宋_GB2312" w:eastAsia="仿宋_GB2312" w:cs="仿宋_GB2312"/>
                <w:color w:val="000000" w:themeColor="text1"/>
                <w:sz w:val="20"/>
                <w:szCs w:val="20"/>
                <w:vertAlign w:val="superscript"/>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eastAsia"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hint="eastAsia" w:ascii="仿宋_GB2312" w:hAnsi="仿宋_GB2312" w:eastAsia="仿宋_GB2312" w:cs="仿宋_GB2312"/>
                <w:color w:val="000000" w:themeColor="text1"/>
                <w:lang w:val="en-US" w:eastAsia="zh-CN"/>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除上述评分条款外的技术参数要求，投标人所提供的设备完全满足要求的得3分，未完全满足的不得分。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商务项（F3×A3）满分为15.0000分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投标人或产品制造商具有【质量管理体系认证】证书，且在提交投标文件时证书应处于有效状态，投标人提供加盖投标人公章的有效证书扫描件的得1分，否则不得分。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培训方案进行评价：培训方案应至少包括①培训时间、地点及培训讲师（至少2人）的资历（需提供相关资历证明材料）；②培训的主要内容（至少包含使用及日常维护内容）；③预期培训效果。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根据投标人或所投产品制造商自2023年1月1日(以合同签订时间为准)至开标当日承接过同类</w:t>
            </w:r>
            <w:r>
              <w:rPr>
                <w:rFonts w:hint="eastAsia" w:ascii="仿宋_GB2312" w:hAnsi="仿宋_GB2312" w:eastAsia="仿宋_GB2312" w:cs="仿宋_GB2312"/>
                <w:color w:val="000000" w:themeColor="text1"/>
                <w14:textFill>
                  <w14:solidFill>
                    <w14:schemeClr w14:val="tx1"/>
                  </w14:solidFill>
                </w14:textFill>
              </w:rPr>
              <w:t>气相色谱仪</w:t>
            </w:r>
            <w:r>
              <w:rPr>
                <w:rFonts w:ascii="仿宋_GB2312" w:hAnsi="仿宋_GB2312" w:eastAsia="仿宋_GB2312" w:cs="仿宋_GB2312"/>
                <w:color w:val="000000" w:themeColor="text1"/>
                <w14:textFill>
                  <w14:solidFill>
                    <w14:schemeClr w14:val="tx1"/>
                  </w14:solidFill>
                </w14:textFill>
              </w:rPr>
              <w:t>项目的有效业绩进行评价：每提供1个有效业绩得1分，满分3分。说明：投标人须提供该业绩项目以下资料：(1)中标（成交）公告(须提供相关网站中标或成交公告的下载网页及其网址)；(2)中标（成交）通知书；(3)采购合同文本；(4)能够证明该业绩项目已经采购人验收合格的证明材料。如未按照以上要求提供该项目业绩完整资料的，评标委员会对该项业绩将不予采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售后服务方案进行评价：方案应至少包括①质保期内设备维护保养计划，内容至少包含维护保养频次（2次/年及以上）、维护保养时间、人员个数、保养内容、服务效果等；②质保期满后，关键零部件的成本费用清单。③质保期满后，关键零部件成本折扣低于8折。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的响应速度进行评价：投标人承诺接到故障电话后，1小时内电话响应，4小时内到达，12小时内修复，得3分；1小时内电话响应，4（含）-8小时内到达，12（含）-24小时内修复，得2分；1小时内电话响应，8（含）-12小时内到达，24（含）-48小时内修复，得1分；其他情况不得分。须提供承诺（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根据投标人承诺的整体质保期限进行评价：在满足招标文件（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年）的基础上，每延长1年得1分，满分2分。未提供承诺（格式自拟）不得分。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（1）气相色谱仪响应报价低于全部通过符合性审查供应商响应报价平均值50%的，即气相色谱仪响应报价&lt;全部通过符合性审查供应商响应报价平均值×50%。 （2）气相色谱仪响应报价低于通过符合性审查且报价次低供应商响应报价50%的，即气相色谱仪响应报价&lt;通过符合性审查且报价次低供应商响应报价×50%。 （3）气相色谱仪响应报价低于最高限价45%的，即气相色谱仪响应报价&lt;最高限价×45%。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※除本章第6.3条第（3）款规定情形和落实政府采购政策需进行的价格扣除情形外，不能对投标人的投标报价进行任何调整。</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（3）中标候选人排列规则顺序如下：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a.按照评标总得分（FA）由高到低顺序排列。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b.评标总得分（FA）相同的，按照评标价（即价格扣除后的投标报价）由低到高顺序排列。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c.评标总得分（FA）且评标价（即价格扣除后的投标报价）相同的并列。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（1）投标文件满足招标文件全部实质性要求，且按照评审因素的量化指标评审得分（即评标总得分）最高的投标人为中标候选人。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价格项（F1×A1）满分为3</w:t>
      </w:r>
      <w:r>
        <w:rPr>
          <w:rFonts w:hint="eastAsia" w:ascii="仿宋_GB2312" w:hAnsi="仿宋_GB2312" w:eastAsia="仿宋_GB2312" w:cs="仿宋_GB2312"/>
          <w:color w:val="000000" w:themeColor="text1"/>
          <w:lang w:val="en-US"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.0000分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适用对象</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0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519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节能、环境标志产品</w:t>
            </w:r>
          </w:p>
        </w:tc>
        <w:tc>
          <w:tcPr>
            <w:tcW w:w="1038"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20.00%</w:t>
            </w:r>
          </w:p>
        </w:tc>
        <w:tc>
          <w:tcPr>
            <w:tcW w:w="519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节能、环境标志产品：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供应商应分别明确节能或环境标志产品的货物名称、单价、数量、总价、认证种类，并提供国家确定的认证机构出具的、处于有效期之内的节能产品、环境标志产品认证证书，否则自行承担无法享受价格扣除的不利后果。此外，若投标人对节能或环境标志产品的报价明显高于其他同类产品的报价，投标人应按评标委员会要求作出说明并提供相关证明材料，不能合理说明或不能提供相关证明材料的，自行承担无法享受价格扣除的不利后果。若节能、环境标志产品仅是构成报价产品的部件、组件或零件，则该报价产品不享受鼓励优惠政策。4、国家确定的认证机构详见《市场监管总局关于发布参与实施政府采购节能产品、环境标志产品认证机构名录的公告》（2019年第16号）。 二、对本国产品的支持政策：（1）本项目适用《国务院办公厅关于在政府采购中实施本国产品标准及相关政策的通知》（国办发〔2025〕34 号，以下简称《通知》）规定的本国产品标准及相关政策，本国产品标准适用于货物，包括政府采购货物项目和服务项目中涉及的货物。适用本国产品标准的货物具体是指《政府采购品目分类目录》 中的货物类产品，但不包括其中的房屋和构筑物，文物和陈列品，图书和档案，特种动植物，农林牧渔业产品，矿与矿物， 电力、城市燃气、蒸汽和热水、水，食品、饮料和烟草原料，无形资产。（2）本项目中，国有企业、民营企业、外资企业等各类经营主体平等享受本国产品政府采购支持政策，采购人及采购代理机构对各类经营主体一视同仁、平等对待，无差别待遇或歧视待遇，不指定品牌、不限制品牌注册地及所有者。（3）本项目所称本国产品，是指符合《通知》第一条规定条件的产品：①在中国境内生产，即于中华人民共和国关境内经制造、加工、组装等工序实现属性改变，形成有新名称、新特征（用途）的新产品，《通知》列明的 5 类细微操作不属于属性改变；②在中国境内生产的组件成本占比达到财政部会同行业主管部门规定比例（在分产品比例要求实施前，仅需满足前款境内生产条件即可视同本国产品）；③特定产品在满足前两项条件基础上，其关键组件、关键工序符合财政部会同行业主管部门确定的境内生产/完成要求。（4）产品在中国境内生产的组件成本核算，严格按照《通知》附件 1《中国境内生产的组件成本核算基本规则》执行，以产品二级组件成本核算为原则，一级组件可满足判定需求的按一级组件核算。（5）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6）对符合本国产品标准的产品/供应商报价执行 20%价格扣除的评审优惠，扣除后的价格作为评审价格参与评审，具体规则如下： ①单一产品情形：投标产品为单一产品，且投标人已提交合规《声明函》证明该产品为本国产品的，对该产品的投标报价给予 20%的价格扣除。 ②多产品组合情形：采购项目/采购包包含多种产品的，投标人提供的符合本国产品标准的产品成本之和 ÷ 投标人提供的全部产品成本之和≥80%的，对该投标人提交的本项目/采购包全部产品总报价给予 20%的价格扣除。 ③上述产品成本均以投标人投标文件中载明的真实成本数据、采购合同、进货记录等会计核算数据为依据；价格扣除仅用于评审阶段的价格比较，不改变投标人的投标报价及中标后的签约结算价格。 ④中华人民共和国缔结或共同参加的国际条约、协定对政府采购本国产品政策另有规定的，从其规定。（7）未提供《关于符合本国产品标准的声明函》的不给予价格评审优惠。【说明：因系统目前尚未单独开发本国产品价格扣除模块，投标人可将符合上述要求的相关证明材料上传至本部分。表格中价格扣除比例“20%”非价格扣除的最终比例，投标人同时符合上述多个价格评审扣除优惠政策的，均在投标人原始报价基础上计算，并用扣除后的价格参与评审。】</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其他：无</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技术项（F2×A2）满分为5</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2.1.8梯度变化模式：可预编10种以上种梯度曲线，分为线性、步进、凹线(3种或更多)、凸线(3种或更多)四种类型，由色谱软件实现准确控制。（需提供梯度曲线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投标人所投设备的技术参数完全满足“▲2.3.3具有色谱柱使用信息记录技术，可追踪色谱柱使用信息和历史。（需提供官网截图证明）”的得3分，否则不得分。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投标人所投设备的技术参数完全满足“▲2.4.3具有灯优化程序：可在灯使用寿命期间充分降低整个氘谱范围内的噪音水平。（需提供灯优化对比谱图佐证）”的得3分，否则不得分。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投标人所投设备的技术参数完全满足“▲2.5.1波长范围：190~700 nm，全波长范围只用氘灯不用钨灯。（需提供官网截图证明）”的得3分，否则不得分。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投标人所投设备的技术参数完全满足“▲2.6.3喷雾器具有主动加热和冷却功能。（需提供官网截图证明）”的得3分，否则不得分。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投标人所投设备的技术参数完全满足“▲2.7.3数据采集模式：具有至少1个3D扫描通道。（需提供官网截图证明）”的得3分，否则不得分。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投标人所投设备的技术参数完全满足“2.1.1色谱泵：一体式独立柱塞，数控直线驱动色谱泵技术，压力传感器数量≥2，无需阻尼器”的得2分，否则不得分。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投标人所投设备的技术参数完全满足“2.1.2泵压力传感器反馈回路：2路”的得2分，否则不得分。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投标人所投设备的技术参数完全满足“2.1.4脱气：集成式真空脱气，4个排气仓”的得2分，否则不得分。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投标人所投设备的技术参数完全满足“2.2.1流通针式（FTN）进样模式”的得2分，否则不得分。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投标人所投设备的技术参数完全满足“2.2.2定量同步：泵和进样器之间可实现进样同步，提高保留时间重现性”的得2分，否则不得分。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投标人所投设备的技术参数完全满足“2.2.3样品容量：≥96（2 mL样品瓶架）”的得2分，否则不得分。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投标人所投设备的技术参数完全满足“2.3.2加热模式：强制空气循环”的得2分，否则不得分。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投标人所投设备的技术参数完全满足“2.4.1波长范围：190~800 nm，全波长范围只用氘灯不用钨灯”的得2分，否则不得分。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投标人所投设备的技术参数完全满足“2.5.4内置比色池，实现紫外光谱扫描功能”的得2分，否则不得分。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投标人所投设备的技术参数完全满足“2.6.1雾化器：前面板预装配，卡口式设计”的得2分，否则不得分。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投标人所投设备的技术参数完全满足“2.6.4雾化器气体种类：氮气、空气”的得2分，否则不得分。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投标人所投设备的技术参数完全满足“2.7.4灵敏度：S/N≥1000 (水测量信号的拉曼光谱）”的得2分，否则不得分。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投标人所投设备的技术参数完全满足“2.7.7光源：氙灯,150W”的得2分，否则不得分。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投标人所投设备的技术参数完全满足“3.5用溶剂角及噪音角计算色谱峰一致性，对色谱峰进行纯度分析以判断是否有共流出物（PDA检测器）。”的得2分，否则不得分。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w:t>
            </w:r>
          </w:p>
        </w:tc>
        <w:tc>
          <w:tcPr>
            <w:tcW w:w="831" w:type="dxa"/>
          </w:tcPr>
          <w:p>
            <w:pPr>
              <w:pStyle w:val="4"/>
              <w:jc w:val="right"/>
              <w:rPr>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投标人所投设备的技术参数完全满足“3.7积分模式：传统积分和峰尖寻迹拟和积分，可提供更准确的肩峰、负峰和拖尾峰的积分。”的得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22</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2.4.4流通池：梯形狭缝池，消除示差折光效应</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23</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2.4.8可将所有组分的最大吸收波长值整合成一张色谱图，无需逐个设置波长来寻找每个组分的最大吸收波长值</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eastAsia"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hint="eastAsia" w:ascii="仿宋_GB2312" w:hAnsi="仿宋_GB2312" w:eastAsia="仿宋_GB2312" w:cs="仿宋_GB2312"/>
                <w:color w:val="000000" w:themeColor="text1"/>
                <w:lang w:val="en-US" w:eastAsia="zh-CN"/>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除上述评分条款外的技术参数要求，投标人所提供的设备完全满足要求的得3分，未完全满足的不得分。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商务项（F3×A3）满分为15.0000分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投标人或产品制造商具有【质量管理体系认证】证书，且在提交投标文件时证书应处于有效状态，投标人提供加盖投标人公章的有效证书扫描件的得1分，否则不得分。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培训方案进行评价：培训方案应至少包括①培训时间、地点及培训讲师（至少2人）的资历（需提供相关资历证明材料）；②培训的主要内容（至少包含使用及日常维护内容）；③预期培训效果。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根据投标人或所投产品制造商自2023年1月1日(以合同签订时间为准)至开标当日承接过同类</w:t>
            </w:r>
            <w:r>
              <w:rPr>
                <w:rFonts w:hint="eastAsia" w:ascii="仿宋_GB2312" w:hAnsi="仿宋_GB2312" w:eastAsia="仿宋_GB2312" w:cs="仿宋_GB2312"/>
                <w:color w:val="000000" w:themeColor="text1"/>
                <w14:textFill>
                  <w14:solidFill>
                    <w14:schemeClr w14:val="tx1"/>
                  </w14:solidFill>
                </w14:textFill>
              </w:rPr>
              <w:t>高效液相色谱仪</w:t>
            </w:r>
            <w:r>
              <w:rPr>
                <w:rFonts w:ascii="仿宋_GB2312" w:hAnsi="仿宋_GB2312" w:eastAsia="仿宋_GB2312" w:cs="仿宋_GB2312"/>
                <w:color w:val="000000" w:themeColor="text1"/>
                <w14:textFill>
                  <w14:solidFill>
                    <w14:schemeClr w14:val="tx1"/>
                  </w14:solidFill>
                </w14:textFill>
              </w:rPr>
              <w:t>项目的有效业绩进行评价：每提供1个有效业绩得1分，满分3分。说明：投标人须提供该业绩项目以下资料：(1)中标（成交）公告(须提供相关网站中标或成交公告的下载网页及其网址)；(2)中标（成交）通知书；(3)采购合同文本；(4)能够证明该业绩项目已经采购人验收合格的证明材料。如未按照以上要求提供该项目业绩完整资料的，评标委员会对该项业绩将不予采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售后服务方案进行评价：方案应至少包括①质保期内设备维护保养计划，内容至少包含维护保养频次（2次/年及以上）、维护保养时间、人员个数、保养内容、服务效果等；②质保期满后，关键零部件的成本费用清单。③质保期满后，关键零部件成本折扣低于8折。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的响应速度进行评价：投标人承诺接到故障电话后，1小时内电话响应，4小时内到达，12小时内修复，得3分；1小时内电话响应，4（含）-8小时内到达，12（含）-24小时内修复，得2分；1小时内电话响应，8（含）-12小时内到达，24（含）-48小时内修复，得1分；其他情况不得分。须提供承诺（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根据投标人承诺的整体质保期限进行评价：在满足招标文件（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年）的基础上，每延长1年得1分，满分2分。未提供承诺（格式自拟）不得分。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（1）高效液相色谱仪响应报价低于全部通过符合性审查供应商响应报价平均值50%的，即高效液相色谱仪响应报价&lt;全部通过符合性审查供应商响应报价平均值×50%。 （2）高效液相色谱仪响应报价低于通过符合性审查且报价次低供应商响应报价50%的，即高效液相色谱仪响应报价&lt;通过符合性审查且报价次低供应商响应报价×50%。 （3）高效液相色谱仪响应报价低于最高限价45%的，即高效液相色谱仪响应报价&lt;最高限价×45%。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※除本章第6.3条第（3）款规定情形和落实政府采购政策需进行的价格扣除情形外，不能对投标人的投标报价进行任何调整。</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（3）中标候选人排列规则顺序如下：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a.按照评标总得分（FA）由高到低顺序排列。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b.评标总得分（FA）相同的，按照评标价（即价格扣除后的投标报价）由低到高顺序排列。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c.评标总得分（FA）且评标价（即价格扣除后的投标报价）相同的并列。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（1）投标文件满足招标文件全部实质性要求，且按照评审因素的量化指标评审得分（即评标总得分）最高的投标人为中标候选人。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价格项（F1×A1）满分为3</w:t>
      </w:r>
      <w:r>
        <w:rPr>
          <w:rFonts w:hint="eastAsia" w:ascii="仿宋_GB2312" w:hAnsi="仿宋_GB2312" w:eastAsia="仿宋_GB2312" w:cs="仿宋_GB2312"/>
          <w:color w:val="000000" w:themeColor="text1"/>
          <w:lang w:val="en-US"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.0000分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适用对象</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0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519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节能、环境标志产品</w:t>
            </w:r>
          </w:p>
        </w:tc>
        <w:tc>
          <w:tcPr>
            <w:tcW w:w="1038"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20.00%</w:t>
            </w:r>
          </w:p>
        </w:tc>
        <w:tc>
          <w:tcPr>
            <w:tcW w:w="519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节能、环境标志产品：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供应商应分别明确节能或环境标志产品的货物名称、单价、数量、总价、认证种类，并提供国家确定的认证机构出具的、处于有效期之内的节能产品、环境标志产品认证证书，否则自行承担无法享受价格扣除的不利后果。此外，若投标人对节能或环境标志产品的报价明显高于其他同类产品的报价，投标人应按评标委员会要求作出说明并提供相关证明材料，不能合理说明或不能提供相关证明材料的，自行承担无法享受价格扣除的不利后果。若节能、环境标志产品仅是构成报价产品的部件、组件或零件，则该报价产品不享受鼓励优惠政策。4、国家确定的认证机构详见《市场监管总局关于发布参与实施政府采购节能产品、环境标志产品认证机构名录的公告》（2019年第16号）。 二、对本国产品的支持政策：（1）本项目适用《国务院办公厅关于在政府采购中实施本国产品标准及相关政策的通知》（国办发〔2025〕34 号，以下简称《通知》）规定的本国产品标准及相关政策，本国产品标准适用于货物，包括政府采购货物项目和服务项目中涉及的货物。适用本国产品标准的货物具体是指《政府采购品目分类目录》 中的货物类产品，但不包括其中的房屋和构筑物，文物和陈列品，图书和档案，特种动植物，农林牧渔业产品，矿与矿物， 电力、城市燃气、蒸汽和热水、水，食品、饮料和烟草原料，无形资产。（2）本项目中，国有企业、民营企业、外资企业等各类经营主体平等享受本国产品政府采购支持政策，采购人及采购代理机构对各类经营主体一视同仁、平等对待，无差别待遇或歧视待遇，不指定品牌、不限制品牌注册地及所有者。（3）本项目所称本国产品，是指符合《通知》第一条规定条件的产品：①在中国境内生产，即于中华人民共和国关境内经制造、加工、组装等工序实现属性改变，形成有新名称、新特征（用途）的新产品，《通知》列明的 5 类细微操作不属于属性改变；②在中国境内生产的组件成本占比达到财政部会同行业主管部门规定比例（在分产品比例要求实施前，仅需满足前款境内生产条件即可视同本国产品）；③特定产品在满足前两项条件基础上，其关键组件、关键工序符合财政部会同行业主管部门确定的境内生产/完成要求。（4）产品在中国境内生产的组件成本核算，严格按照《通知》附件 1《中国境内生产的组件成本核算基本规则》执行，以产品二级组件成本核算为原则，一级组件可满足判定需求的按一级组件核算。（5）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6）对符合本国产品标准的产品/供应商报价执行 20%价格扣除的评审优惠，扣除后的价格作为评审价格参与评审，具体规则如下： ①单一产品情形：投标产品为单一产品，且投标人已提交合规《声明函》证明该产品为本国产品的，对该产品的投标报价给予 20%的价格扣除。 ②多产品组合情形：采购项目/采购包包含多种产品的，投标人提供的符合本国产品标准的产品成本之和 ÷ 投标人提供的全部产品成本之和≥80%的，对该投标人提交的本项目/采购包全部产品总报价给予 20%的价格扣除。 ③上述产品成本均以投标人投标文件中载明的真实成本数据、采购合同、进货记录等会计核算数据为依据；价格扣除仅用于评审阶段的价格比较，不改变投标人的投标报价及中标后的签约结算价格。 ④中华人民共和国缔结或共同参加的国际条约、协定对政府采购本国产品政策另有规定的，从其规定。（7）未提供《关于符合本国产品标准的声明函》的不给予价格评审优惠。【说明：因系统目前尚未单独开发本国产品价格扣除模块，投标人可将符合上述要求的相关证明材料上传至本部分。表格中价格扣除比例“20%”非价格扣除的最终比例，投标人同时符合上述多个价格评审扣除优惠政策的，均在投标人原始报价基础上计算，并用扣除后的价格参与评审。】</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其他：无</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技术项（F2×A2）满分为5</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投标人所投设备的技术参数完全满足“▲2.1.1色谱泵：一体式独立柱塞，数控直线驱动色谱泵技术，压力传感器数量≥2，无需阻尼器。（需提供泵的构造图证明）”的得3分，否则不得分。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投标人所投设备的技术参数完全满足“▲2.1.10自动缓冲盐配置功能：可实现自动配置缓冲盐浓度和pH值梯度，准确度±0.1。（需提供软件截图证明）”的得3分，否则不得分。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投标人所投设备的技术参数完全满足“▲2.1.11梯度变化模式：预编11种梯度曲线，分为1线性、2步进、4凹线、4凸线四种类型。（需提供梯度曲线截图证明）”的得3分，否则不得分。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投标人所投设备的技术参数完全满足“▲2.4.1波长范围：190~800nm，全波长范围只用氘灯不用钨灯。（需提供官网截图佐证）”的得3分，否则不得分。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投标人所投设备的技术参数完全满足“▲2.5.5流通池：光导流动池，提高光通量。（需提供官网截图佐证）”的得3分，否则不得分。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投标人所投设备的技术参数完全满足“▲2.7.3具有多种检测模式：2D、3D和动态光谱扫描。（需提供官网截图佐证）”的得3分，否则不得分。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投标人所投设备的技术参数完全满足“▲2.8.10具有操作面板，可以独立设定工作参数、显示运行状态。（需提供实物照片佐证）”的得3分，否则不得分。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投标人所投设备的技术参数完全满足“2.1.2溶剂脱气：集成式真空脱气，4个排气仓；”的得2分，否则不得分。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投标人所投设备的技术参数完全满足“2.1.3溶剂混合：自动在线混合溶剂，得到不同pH、离子强度以及含不同有机改性剂的流动相”的得2分，否则不得分。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投标人所投设备的技术参数完全满足“2.1.12主动单向阀：智能入口阀（主动阀）；”的得2分，否则不得分。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投标人所投设备的技术参数完全满足“2.1.13泵密封清洗：配备自动清洗系统，用于冲洗高压密封件的后部和柱塞杆”的得2分，否则不得分。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投标人所投设备的技术参数完全满足“2.2.3最大样品容量：≥96（2 mL样品瓶架）”的得2分，否则不得分。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投标人所投设备的技术参数完全满足“2.2.5自动进样循环时间：&lt;30 s（进样之间, 带针外壁进样前后各6s清洗）”的得2分，否则不得分。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投标人所投设备的技术参数完全满足“2.3.2即插主动式溶剂预热器”的得2分，否则不得分。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投标人所投设备的技术参数完全满足“2.3.3溶剂平衡：主动预加热”的得2分，否则不得分。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投标人所投设备的技术参数完全满足“2.4.7可将所有组分的最大吸收波长值整合成一张色谱图，无需逐个设置波长来寻找每个组分的最大吸收波长值”的得2分，否则不得分。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投标人所投设备的技术参数完全满足“2.5.2检测通道：2个”的得2分，否则不得分。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投标人所投设备的技术参数完全满足“2.6.1雾化器：前置装配，卡口式设计，便于后期维护”的得2分，否则不得分。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投标人所投设备的技术参数完全满足“2.6.3雾化器三种温度控制模式：加热、常温、冷却”的得2分，否则不得分。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投标人所投设备的技术参数完全满足“2.7.7光源：汞/弧氙灯”的得2分，否则不得分。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21</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5"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2.1.2溶剂脱气：集成式真空脱气，4个排气仓；</w:t>
            </w:r>
            <w:r>
              <w:rPr>
                <w:rFonts w:ascii="仿宋_GB2312" w:hAnsi="仿宋_GB2312" w:eastAsia="仿宋_GB2312" w:cs="仿宋_GB2312"/>
                <w:color w:val="000000" w:themeColor="text1"/>
                <w14:textFill>
                  <w14:solidFill>
                    <w14:schemeClr w14:val="tx1"/>
                  </w14:solidFill>
                </w14:textFill>
              </w:rPr>
              <w:t>”的得2分，否则不得分。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22</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5"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2.1.3溶剂混合：自动在线混合溶剂，得到不同pH、离子强度以及含不同有机改性剂的流动相</w:t>
            </w:r>
            <w:r>
              <w:rPr>
                <w:rFonts w:ascii="仿宋_GB2312" w:hAnsi="仿宋_GB2312" w:eastAsia="仿宋_GB2312" w:cs="仿宋_GB2312"/>
                <w:color w:val="000000" w:themeColor="text1"/>
                <w14:textFill>
                  <w14:solidFill>
                    <w14:schemeClr w14:val="tx1"/>
                  </w14:solidFill>
                </w14:textFill>
              </w:rPr>
              <w:t>”的得2分，否则不得分。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23</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w:t>
            </w:r>
          </w:p>
        </w:tc>
        <w:tc>
          <w:tcPr>
            <w:tcW w:w="415"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2.2.1流通针式（FTN）进样模式</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eastAsia"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hint="eastAsia" w:ascii="仿宋_GB2312" w:hAnsi="仿宋_GB2312" w:eastAsia="仿宋_GB2312" w:cs="仿宋_GB2312"/>
                <w:color w:val="000000" w:themeColor="text1"/>
                <w:lang w:val="en-US" w:eastAsia="zh-CN"/>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除上述评分条款外的技术参数要求，投标人所提供的设备完全满足要求的得3分，未完全满足的不得分。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商务项（F3×A3）满分为15.0000分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投标人或产品制造商具有【质量管理体系认证】证书，且在提交投标文件时证书应处于有效状态，投标人提供加盖投标人公章的有效证书扫描件的得1分，否则不得分。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培训方案进行评价：培训方案应至少包括①培训时间、地点及培训讲师（至少2人）的资历（需提供相关资历证明材料）；②培训的主要内容（至少包含使用及日常维护内容）；③预期培训效果。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根据投标人或所投产品制造商自2023年1月1日(以合同签订时间为准)至开标当日承接过同类</w:t>
            </w:r>
            <w:r>
              <w:rPr>
                <w:rFonts w:hint="eastAsia" w:ascii="仿宋_GB2312" w:hAnsi="仿宋_GB2312" w:eastAsia="仿宋_GB2312" w:cs="仿宋_GB2312"/>
                <w:color w:val="000000" w:themeColor="text1"/>
                <w14:textFill>
                  <w14:solidFill>
                    <w14:schemeClr w14:val="tx1"/>
                  </w14:solidFill>
                </w14:textFill>
              </w:rPr>
              <w:t>超高效液相色谱仪</w:t>
            </w:r>
            <w:r>
              <w:rPr>
                <w:rFonts w:ascii="仿宋_GB2312" w:hAnsi="仿宋_GB2312" w:eastAsia="仿宋_GB2312" w:cs="仿宋_GB2312"/>
                <w:color w:val="000000" w:themeColor="text1"/>
                <w14:textFill>
                  <w14:solidFill>
                    <w14:schemeClr w14:val="tx1"/>
                  </w14:solidFill>
                </w14:textFill>
              </w:rPr>
              <w:t>项目的有效业绩进行评价：每提供1个有效业绩得1分，满分3分。说明：投标人须提供该业绩项目以下资料：(1)中标（成交）公告(须提供相关网站中标或成交公告的下载网页及其网址)；(2)中标（成交）通知书；(3)采购合同文本；(4)能够证明该业绩项目已经采购人验收合格的证明材料。如未按照以上要求提供该项目业绩完整资料的，评标委员会对该项业绩将不予采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售后服务方案进行评价：方案应至少包括①质保期内设备维护保养计划，内容至少包含维护保养频次（2次/年及以上）、维护保养时间、人员个数、保养内容、服务效果等；②质保期满后，关键零部件的成本费用清单。③质保期满后，关键零部件成本折扣低于8折。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的响应速度进行评价：投标人承诺接到故障电话后，1小时内电话响应，4小时内到达，12小时内修复，得3分；1小时内电话响应，4（含）-8小时内到达，12（含）-24小时内修复，得2分；1小时内电话响应，8（含）-12小时内到达，24（含）-48小时内修复，得1分；其他情况不得分。须提供承诺（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根据投标人承诺的整体质保期限进行评价：在满足招标文件（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年）的基础上，每延长1年得1分，满分2分。未提供承诺（格式自拟）不得分。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（1）超高效液相色谱仪响应报价低于全部通过符合性审查供应商响应报价平均值50%的，即超高效液相色谱仪响应报价&lt;全部通过符合性审查供应商响应报价平均值×50%。 （2）超高效液相色谱仪响应报价低于通过符合性审查且报价次低供应商响应报价50%的，即超高效液相色谱仪响应报价&lt;通过符合性审查且报价次低供应商响应报价×50%。 （3）超高效液相色谱仪响应报价低于最高限价45%的，即超高效液相色谱仪响应报价&lt;最高限价×45%。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※除本章第6.3条第（3）款规定情形和落实政府采购政策需进行的价格扣除情形外，不能对投标人的投标报价进行任何调整。</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（3）中标候选人排列规则顺序如下：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a.按照评标总得分（FA）由高到低顺序排列。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b.评标总得分（FA）相同的，按照评标价（即价格扣除后的投标报价）由低到高顺序排列。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c.评标总得分（FA）且评标价（即价格扣除后的投标报价）相同的并列。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采购包4：综合评分法</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（1）投标文件满足招标文件全部实质性要求，且按照评审因素的量化指标评审得分（即评标总得分）最高的投标人为中标候选人。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价格项（F1×A1）满分为3</w:t>
      </w:r>
      <w:r>
        <w:rPr>
          <w:rFonts w:hint="eastAsia" w:ascii="仿宋_GB2312" w:hAnsi="仿宋_GB2312" w:eastAsia="仿宋_GB2312" w:cs="仿宋_GB2312"/>
          <w:color w:val="000000" w:themeColor="text1"/>
          <w:lang w:val="en-US"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.0000分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66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适用对象</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10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比例</w:t>
            </w:r>
          </w:p>
        </w:tc>
        <w:tc>
          <w:tcPr>
            <w:tcW w:w="519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节能、环境标志产品</w:t>
            </w:r>
          </w:p>
        </w:tc>
        <w:tc>
          <w:tcPr>
            <w:tcW w:w="1038"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20.00%</w:t>
            </w:r>
          </w:p>
        </w:tc>
        <w:tc>
          <w:tcPr>
            <w:tcW w:w="519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节能、环境标志产品：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供应商应分别明确节能或环境标志产品的货物名称、单价、数量、总价、认证种类，并提供国家确定的认证机构出具的、处于有效期之内的节能产品、环境标志产品认证证书，否则自行承担无法享受价格扣除的不利后果。此外，若投标人对节能或环境标志产品的报价明显高于其他同类产品的报价，投标人应按评标委员会要求作出说明并提供相关证明材料，不能合理说明或不能提供相关证明材料的，自行承担无法享受价格扣除的不利后果。若节能、环境标志产品仅是构成报价产品的部件、组件或零件，则该报价产品不享受鼓励优惠政策。4、国家确定的认证机构详见《市场监管总局关于发布参与实施政府采购节能产品、环境标志产品认证机构名录的公告》（2019年第16号）。 二、对本国产品的支持政策：（1）本项目适用《国务院办公厅关于在政府采购中实施本国产品标准及相关政策的通知》（国办发〔2025〕34 号，以下简称《通知》）规定的本国产品标准及相关政策，本国产品标准适用于货物，包括政府采购货物项目和服务项目中涉及的货物。适用本国产品标准的货物具体是指《政府采购品目分类目录》 中的货物类产品，但不包括其中的房屋和构筑物，文物和陈列品，图书和档案，特种动植物，农林牧渔业产品，矿与矿物， 电力、城市燃气、蒸汽和热水、水，食品、饮料和烟草原料，无形资产。（2）本项目中，国有企业、民营企业、外资企业等各类经营主体平等享受本国产品政府采购支持政策，采购人及采购代理机构对各类经营主体一视同仁、平等对待，无差别待遇或歧视待遇，不指定品牌、不限制品牌注册地及所有者。（3）本项目所称本国产品，是指符合《通知》第一条规定条件的产品：①在中国境内生产，即于中华人民共和国关境内经制造、加工、组装等工序实现属性改变，形成有新名称、新特征（用途）的新产品，《通知》列明的 5 类细微操作不属于属性改变；②在中国境内生产的组件成本占比达到财政部会同行业主管部门规定比例（在分产品比例要求实施前，仅需满足前款境内生产条件即可视同本国产品）；③特定产品在满足前两项条件基础上，其关键组件、关键工序符合财政部会同行业主管部门确定的境内生产/完成要求。（4）产品在中国境内生产的组件成本核算，严格按照《通知》附件 1《中国境内生产的组件成本核算基本规则》执行，以产品二级组件成本核算为原则，一级组件可满足判定需求的按一级组件核算。（5）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6）对符合本国产品标准的产品/供应商报价执行 20%价格扣除的评审优惠，扣除后的价格作为评审价格参与评审，具体规则如下： ①单一产品情形：投标产品为单一产品，且投标人已提交合规《声明函》证明该产品为本国产品的，对该产品的投标报价给予 20%的价格扣除。 ②多产品组合情形：采购项目/采购包包含多种产品的，投标人提供的符合本国产品标准的产品成本之和 ÷ 投标人提供的全部产品成本之和≥80%的，对该投标人提交的本项目/采购包全部产品总报价给予 20%的价格扣除。 ③上述产品成本均以投标人投标文件中载明的真实成本数据、采购合同、进货记录等会计核算数据为依据；价格扣除仅用于评审阶段的价格比较，不改变投标人的投标报价及中标后的签约结算价格。 ④中华人民共和国缔结或共同参加的国际条约、协定对政府采购本国产品政策另有规定的，从其规定。（7）未提供《关于符合本国产品标准的声明函》的不给予价格评审优惠。【说明：因系统目前尚未单独开发本国产品价格扣除模块，投标人可将符合上述要求的相关证明材料上传至本部分。表格中价格扣除比例“20%”非价格扣除的最终比例，投标人同时符合上述多个价格评审扣除优惠政策的，均在投标人原始报价基础上计算，并用扣除后的价格参与评审。】</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其他：无</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技术项（F2×A2）满分为5</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投标人所投设备的技术参数完全满足“▲1.4无需氮气或氦气等压缩气体的辅助，便于操作和移动。（提供原厂公开彩页资料或技术白皮书证明）”的得3分，否则不得分。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投标人所投设备的技术参数完全满足“▲4.3.6基线噪音：＜0.2ns/cm，65mmol/L浓度KOH淋洗液实际检测。（提供检测图谱证明）。”的得3分，否则不得分。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投标人所投设备的技术参数完全满足“▲4.4.1类型：柱填充结构，不采用膜结构抑制器，免维护。（提供原厂公开彩页资料或技术白皮书证明）。”的得3分，否则不得分。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投标人所投设备的技术参数完全满足“▲4.4.2无需外加酸（包括但不限于硫酸、硝酸、盐酸、甲基磺酸等）进行化学再生。（提供原厂公开彩页资料或技术白皮书证明）。”的得3分，否则不得分。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投标人所投设备的技术参数完全满足“▲4.9.4进样体积软件直接任意设定，步进≤0.001ml。（提供原厂公开彩页资料或技术白皮书证明）。”的得3分，否则不得分。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投标人所投设备的技术参数完全满足“▲4.11.7淋洗液母液罐可直接购买商品化母液使用，也可使用高浓度KOH稀释使用。（需提供第三方商品化母液订货号及订购网页截图证明）”的得3分，否则不得分。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投标人所投设备的技术参数完全满足“1.2可实现多样品分析自动化，并具备在线样品前处理功能。”的得2分，否则不得分。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投标人所投设备的技术参数完全满足“4.1.1类型：采用化学惰性的非金属泵头，PEEK管路,适合于pH为0～14的水相淋洗液以及各种反相淋洗液体系。”的得2分，否则不得分。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投标人所投设备的技术参数完全满足“4.1.5最大耐压：≥35 Mpa。”的得2分，否则不得分。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投标人所投设备的技术参数完全满足“4.1.6配置自动安全关机功能：压力超过上下限时自动关机。”的得2分，否则不得分。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投标人所投设备的技术参数完全满足“4.1.10内置在线淋洗液真空脱气装置。”的得2分，否则不得分。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投标人所投设备的技术参数完全满足“4.1.11内置在线样品真空脱气装置。”的得2分，否则不得分。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投标人所投设备的技术参数完全满足“4.3.7配备智能芯片，可以储存样本色谱图，用于软件验证或培训。”的得2分，否则不得分。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投标人所投设备的技术参数完全满足“4.4.3最大耐压：≥2.5MPa。”的得2分，否则不得分。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投标人所投设备的技术参数完全满足“4.4.4有机溶剂100%兼容。”的得2分，否则不得分。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投标人所投设备的技术参数完全满足“4.7.2 进样方式：至少具有满环进样、部分定量环进样、拾取模式三种模式。”的得2分，否则不得分。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投标人所投设备的技术参数完全满足“4.7.3样品位数：≥90位，样品瓶适配液相小瓶”的得2分，否则不得分。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投标人所投设备的技术参数完全满足“4.9.1可自动在线去除样品中的非离子基体，避免对于色谱柱的影响，保证实验结果准确性”的得2分，否则不得分。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投标人所投设备的技术参数完全满足“4.10.1内置真空池、特氟龙膜和二氧化碳吸收剂。”的得2分，否则不得分。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投标人所投设备的技术参数完全满足“4.11.6电解装置（淋洗液发生单元）可重复使用，母液罐使用完后只需要更换KOH试剂罐即可，无需更换电解装置。”的得2分，否则不得分。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w:t>
            </w:r>
          </w:p>
        </w:tc>
        <w:tc>
          <w:tcPr>
            <w:tcW w:w="831" w:type="dxa"/>
          </w:tcPr>
          <w:p>
            <w:pPr>
              <w:pStyle w:val="4"/>
              <w:jc w:val="right"/>
              <w:rPr>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投标人所投设备的技术参数完全满足“5.9消耗品（至少包含1根蠕动泵管，淋洗液滤芯5个，在线过滤器滤膜10片）”的得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22</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t>4.2.1前拉式面板，方便色谱柱及进样阀装卸维护。</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23</w:t>
            </w:r>
          </w:p>
        </w:tc>
        <w:tc>
          <w:tcPr>
            <w:tcW w:w="831" w:type="dxa"/>
          </w:tcPr>
          <w:p>
            <w:pPr>
              <w:pStyle w:val="4"/>
              <w:jc w:val="righ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p>
        </w:tc>
        <w:tc>
          <w:tcPr>
            <w:tcW w:w="416" w:type="dxa"/>
          </w:tcPr>
          <w:p>
            <w:pPr>
              <w:pStyle w:val="4"/>
              <w:jc w:val="both"/>
              <w:rPr>
                <w:rFonts w:ascii="仿宋_GB2312" w:hAnsi="仿宋_GB2312" w:eastAsia="仿宋_GB2312" w:cs="仿宋_GB2312"/>
                <w:color w:val="000000" w:themeColor="text1"/>
                <w14:textFill>
                  <w14:solidFill>
                    <w14:schemeClr w14:val="tx1"/>
                  </w14:solidFill>
                </w14:textFill>
              </w:rPr>
            </w:pPr>
          </w:p>
        </w:tc>
        <w:tc>
          <w:tcPr>
            <w:tcW w:w="3738" w:type="dxa"/>
          </w:tcPr>
          <w:p>
            <w:pPr>
              <w:pStyle w:val="4"/>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投标人所投设备的技术参数完全满足“</w:t>
            </w:r>
            <w:r>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t>4.8.2方向：顺时针和逆时针双向。</w:t>
            </w:r>
            <w:r>
              <w:rPr>
                <w:rFonts w:ascii="仿宋_GB2312" w:hAnsi="仿宋_GB2312" w:eastAsia="仿宋_GB2312" w:cs="仿宋_GB2312"/>
                <w:color w:val="000000" w:themeColor="text1"/>
                <w14:textFill>
                  <w14:solidFill>
                    <w14:schemeClr w14:val="tx1"/>
                  </w14:solidFill>
                </w14:textFill>
              </w:rPr>
              <w:t>”的得</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rFonts w:hint="eastAsia"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hint="eastAsia" w:ascii="仿宋_GB2312" w:hAnsi="仿宋_GB2312" w:eastAsia="仿宋_GB2312" w:cs="仿宋_GB2312"/>
                <w:color w:val="000000" w:themeColor="text1"/>
                <w:lang w:val="en-US" w:eastAsia="zh-CN"/>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除上述评分条款外的技术参数要求，投标人所提供的设备完全满足要求的得3分，未完全满足的不得分。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商务项（F3×A3）满分为15.0000分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831"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415"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3738"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投标人或产品制造商具有【质量管理体系认证】证书，且在提交投标文件时证书应处于有效状态，投标人提供加盖投标人公章的有效证书扫描件的得1分，否则不得分。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培训方案进行评价：培训方案应至少包括①培训时间、地点及培训讲师（至少2人）的资历（需提供相关资历证明材料）；②培训的主要内容（至少包含使用及日常维护内容）；③预期培训效果。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根据投标人或所投产品制造商自2023年1月1日(以合同签订时间为准)至开标当日承接过同类</w:t>
            </w:r>
            <w:r>
              <w:rPr>
                <w:rFonts w:hint="eastAsia" w:ascii="仿宋_GB2312" w:hAnsi="仿宋_GB2312" w:eastAsia="仿宋_GB2312" w:cs="仿宋_GB2312"/>
                <w:color w:val="000000" w:themeColor="text1"/>
                <w14:textFill>
                  <w14:solidFill>
                    <w14:schemeClr w14:val="tx1"/>
                  </w14:solidFill>
                </w14:textFill>
              </w:rPr>
              <w:t>离子色谱仪</w:t>
            </w:r>
            <w:r>
              <w:rPr>
                <w:rFonts w:ascii="仿宋_GB2312" w:hAnsi="仿宋_GB2312" w:eastAsia="仿宋_GB2312" w:cs="仿宋_GB2312"/>
                <w:color w:val="000000" w:themeColor="text1"/>
                <w14:textFill>
                  <w14:solidFill>
                    <w14:schemeClr w14:val="tx1"/>
                  </w14:solidFill>
                </w14:textFill>
              </w:rPr>
              <w:t>项目的有效业绩进行评价：每提供1个有效业绩得1分，满分3分。说明：投标人须提供该业绩项目以下资料：(1)中标（成交）公告(须提供相关网站中标或成交公告的下载网页及其网址)；(2)中标（成交）通知书；(3)采购合同文本；(4)能够证明该业绩项目已经采购人验收合格的证明材料。如未按照以上要求提供该项目业绩完整资料的，评标委员会对该项业绩将不予采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针对本项目所提供的售后服务方案进行评价：方案应至少包括①质保期内设备维护保养计划，内容至少包含维护保养频次（2次/年及以上）、维护保养时间、人员个数、保养内容、服务效果等；②质保期满后，关键零部件的成本费用清单。③质保期满后，关键零部件成本折扣低于8折。以上内容每完整响应1项得1分，满分3分。不提供或内容不全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的响应速度进行评价：投标人承诺接到故障电话后，1小时内电话响应，4小时内到达，12小时内修复，得3分；1小时内电话响应，4（含）-8小时内到达，12（含）-24小时内修复，得2分；1小时内电话响应，8（含）-12小时内到达，24（含）-48小时内修复，得1分；其他情况不得分。须提供承诺（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831" w:type="dxa"/>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41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3738"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根据投标人承诺的整体质保期限进行评价：在满足招标文件（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年）的基础上，每延长1年得1分，满分2分。未提供承诺（格式自拟）不得分。</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4153"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异常低价审查</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根据《关于推动解决政府采购异常低价问题的通知》（财库〔2026〕2号）等相关规定，政府采购评审中出现下列情形之一的，评审委员会应当启动异常低价投标（响应）审查程序： （1）离子色谱仪响应报价低于全部通过符合性审查供应商响应报价平均值50%的，即离子色谱仪响应报价&lt;全部通过符合性审查供应商响应报价平均值×50%。 （2）离子色谱仪响应报价低于通过符合性审查且报价次低供应商响应报价50%的，即离子色谱仪响应报价&lt;通过符合性审查且报价次低供应商响应报价×50%。 （3）离子色谱仪响应报价低于最高限价45%的，即离子色谱仪响应报价&lt;最高限价×45%。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※除本章第6.3条第（3）款规定情形和落实政府采购政策需进行的价格扣除情形外，不能对投标人的投标报价进行任何调整。</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（3）中标候选人排列规则顺序如下：</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a.按照评标总得分（FA）由高到低顺序排列。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b.评标总得分（FA）相同的，按照评标价（即价格扣除后的投标报价）由低到高顺序排列。</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c.评标总得分（FA）且评标价（即价格扣除后的投标报价）相同的并列。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8、其他规定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8.1评标应全程保密且不得透露给任一投标人或与评标工作无关的人员。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8.2评标将进行全程实时录音录像，录音录像资料随采购文件一并存档。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8.4其他：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1、质疑函要求 供应商提出质疑应当提交质疑函和必要的证明材料。质疑函应当包括下列内容： (一)供应商的姓名或者名称名 称、地址、邮编、联系人及联系电话; (二)质疑项目的名称名 称、编号; (三)具体、明确的质疑事项和与质疑事项相关的请求; (四)事实依据; (五)必要的法律依据; (六)提出质疑的日期。 供应商为自然人的，应当由本人签字;供应商为法人或者其他组织的，应当由法定代表人、主要负责人，或者其授权代表签字或者盖章，并加盖公章。接收质疑：黄经理，负责接收质疑，电话0592-2298125，传真0592-5706660-6969，邮箱hcq@iport.com.cn，通讯地址：厦门市湖里区机场北路476号4楼。质疑函应采用下列方式之一提交：（1）邮件形式：将质疑函原件扫描发送至邮箱：邮箱hcq@iport.com.cn收到质疑函的时间以邮箱显示的收到时间为准。质疑答复过程中需要核对原件的，质疑人应提供原件核查，否则相关资料可能不被认可。（2）快递形式：将质疑函原件快递至厦门市湖里区机场北路476号4楼，收件人：电话0592-2298125，传真0592-5706660-6969。收到质疑函的时间以快递签收时间为准。（3）现场送达：将质疑函原件现场送至厦门市湖里区机场北路476号4楼经办人手中。收到质疑函的时间以前台签收时间为准。 注：提交质疑函须附上系统下载文件登记截图，质疑函须符合第三章第15条质疑的要求。</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第五章 招标内容及要求</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一、项目概况（采购标的）</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本项目采购气相色谱仪5套、高效液相色谱仪3套、超高效液相色谱仪2套、离子色谱仪 1 套，全部用于本院食品、轻工产品（食品接触包装、眼镜、纺织服装）、水质样品日常监督检验、风险监测、标准验证、科研项目检测工作，覆盖以下检测场景：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食品检测领域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食品中农残、溶剂残留、塑化剂、甜味剂、合成色素、真菌毒素、有机酸、硝酸盐、亚硝酸盐、挥发性风味物质、包装迁移有机物。</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轻工产品检测领域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（1）食品接触材料：塑料 / 纸 / 硅胶包装中迁移单体、增塑剂、挥发性溶剂、甲醛、重金属离子；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（2）眼镜产品：镜架、镜片析出有机助剂、塑化剂、残留有机溶剂；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（3）纺织服装：可分解芳香胺染料、甲醛、纺织助剂、残留溶剂、织物中阴阳离子污染物。</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水质检测领域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生活饮用水、地表水、工业废水、管网末梢水：挥发性有机物、卤代烃、消毒副产物、氟/ 氯 / 硝酸盐 / 硫酸盐等阴阳离子、有机污染物、有机酸。</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本院现有色谱设备长期满负荷连续运行，样品积压严重，无法满足全年大批量抽检、风险监测任务，且使用年限均为10年以上，故障频发，设备更新后能很好地提升检测数据时效性与管控能力。</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二、技术和服务要求（以“★”标示的内容为不允许负偏离的实质性要求）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（一）采购包1：气相色谱仪</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1、配置要求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1.1气相色谱仪（FID+ECD）2台，每台具体要求如下：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气相色谱仪主机1套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分流/不分流进样口2套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进样口扳转顶盖模块2套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7英寸彩色触摸屏1套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火焰离子化检测器(FID)1套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微池电子捕获检测器（ECD）1套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塔式液体自动进样器1套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150位拓展盘1个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工作站软件1套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安装启动工具包1套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输入输出系统1套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氢气发生器1台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部件查找工具软件1套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1.2气相色谱仪1台（FID+FPD），具体要求如下：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气相色谱仪主机1套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分流/不分流进样口2套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进样口扳转顶盖模块2套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7英寸彩色触摸屏1套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火焰离子化检测器(FID)1套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火焰光度检测器（FPD）1套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塔式液体自动进样器1套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150位拓展盘1个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＞100位顶空进样器1台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氢气发生器1台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工作站软件1套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安装启动工具包1套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输入输出系统1套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部件查找工具软件1套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1.3气相色谱仪1台（NPD+ECD），具体要求如下：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气相色谱仪主机1套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分流/不分流进样口2套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进样口扳转顶盖模块2套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7英寸彩色触摸屏1套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氮磷检测器(NPD)1套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微池电子捕获检测器（ECD）1套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16位塔式液体自动进样器1套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150位拓展盘1个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工作站软件1套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安装启动工具包1套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输入输出系统1套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部件查找工具软件1套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1.4气相色谱仪1台（FID+TCD），具体要求如下：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气相色谱仪主机1套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分流/不分流进样口2套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进样口扳转顶盖模块2套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7英寸彩色触摸屏1套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火焰离子化检测器(FID)1套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热导检测器（TCD）1套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16位塔式液体自动进样器1套</w:t>
      </w:r>
    </w:p>
    <w:p>
      <w:pPr>
        <w:pStyle w:val="4"/>
        <w:ind w:firstLine="480"/>
        <w:jc w:val="both"/>
        <w:rPr>
          <w:color w:val="000000" w:themeColor="text1"/>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ascii="仿宋_GB2312" w:hAnsi="仿宋_GB2312" w:eastAsia="仿宋_GB2312" w:cs="仿宋_GB2312"/>
          <w:color w:val="000000" w:themeColor="text1"/>
          <w:sz w:val="24"/>
          <w14:textFill>
            <w14:solidFill>
              <w14:schemeClr w14:val="tx1"/>
            </w14:solidFill>
          </w14:textFill>
        </w:rPr>
        <w:t>150位拓展盘1个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热裂解系统1套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工作站软件1套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安装启动工具包1套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输入输出系统1套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部件查找工具软件1套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气相耗材要求【气体捕集阱3套、石墨密封垫60个、柱螺母24个、10uL进样针30个、色谱柱12个（HP-5柱30m×0.32mm×0.25um 6根、CP-WAX柱50 m×0.25 mm×0.20μm 2根、DB-WAXetr柱30m×0.32mm×0.25um 2根、J&amp;W DB-WAX 超高惰性柱60m×0.25 mm×0.25 um 1根、HP-88柱100mX0.25 mmX0.20μm l根）、20ml顶空瓶和盖600个、2ml样品瓶和盖1200个、分流平板6个、分流衬管60个、分流衬管20个、隔垫200个、石墨密封垫60个、石墨堵头10个】【气体捕集阱1套、O型圈10个、石墨密封垫40个、柱螺母2个、10uL进样针6个、色谱柱4根（HP-5柱30m×0.32mm×0.25um、DB-WAXetr色谱柱或等效柱1根30m×0.32mm×1.00μm 、GB/T 29610用VF-5HT石英毛细管柱或等效柱1根15m×0.25mm×0.1μm、GB/T 39107用DB-624 UI色谱柱或等效柱1根60m×0.25mm×1.4μm）、分流平板1个、分流/不分流衬管25个、不分流衬管25个、隔垫200个、手拧式柱螺母2个、2 ml 螺纹口样品瓶（带蓝色瓶盖）500个等】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2、工作条件和用途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2.1环境温度：15～30℃，相对湿度：40～80%。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2.2用于环境挥发性和半挥发性有机物检测。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3、技术规格及要求、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3.1柱箱</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3.1.1具备远程智能访问功能，在不开启电脑和色谱工作站的情况下，可远程直接连接仪器主机IP地址，并且对仪器采集方法和序列进行编辑</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★3.1.2 每台GC均标配嵌入式一体化液晶彩色触摸电容屏，屏幕尺寸不小于7英寸。（需提供仪器图片及技术说明书进行佐证）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3.1.3在实验室环境改变的情况下，大气压和温度补偿技术，可保证仪器获得稳定的保留时间和检测器基线</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3.1.4温度范围：最高450℃，温度设置精度：0.1℃</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3.1.5温度稳定性：当环境温度变化 1℃时，优于 0.01℃</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3.1.6程序升温：支持20阶柱箱升温梯度和21个恒温平台，可以设定降温速率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3.1.7最长运行时间：999.99 分钟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3.1.8最多可以支持8个EPC 控制模块，可控制19个EPC通道</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3.1.9在最新的微通道EPC构架基础上，可以防止颗粒、水汽和油等气体污染物，使得EPC可靠性和使用寿命有显著提高。准确的压力控制精度，为低压应用提供了更高的保留时间锁定精度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3.1.10具有灵活的扩展功能，最多可同时安装和运行两个进样口和四个检测器，配备不少于六个气相色谱柱智能接口，智能钥匙可自动识别色谱柱型号规格和使用信息，无需在软件上设置。（提供仪器实物图片或技术说明书进行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3.1.11最多可支持10个阀</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★3.1.12柱温箱体积：≥13L。（提供仪器软件截图或技术说明书作为佐证资料，现场安装时进行验收）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3.2惰性分流/不分流进样口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3.2.1流量控制：具有恒流、恒压等操作模式的电子气路控制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3.2.2快速扳转系统，更换衬管无需拆卸螺丝，方便易维护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3.2.3最高使用温度 400℃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3.2.4压力设定范围：0～150 psi，控制精度0.001 psi</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3.2.5流量设定范围：0～500 ml/min（以 N</w:t>
      </w:r>
      <w:r>
        <w:rPr>
          <w:rFonts w:ascii="仿宋_GB2312" w:hAnsi="仿宋_GB2312" w:eastAsia="仿宋_GB2312" w:cs="仿宋_GB2312"/>
          <w:color w:val="000000" w:themeColor="text1"/>
          <w:sz w:val="24"/>
          <w:vertAlign w:val="subscript"/>
          <w14:textFill>
            <w14:solidFill>
              <w14:schemeClr w14:val="tx1"/>
            </w14:solidFill>
          </w14:textFill>
        </w:rPr>
        <w:t>2</w:t>
      </w:r>
      <w:r>
        <w:rPr>
          <w:rFonts w:ascii="仿宋_GB2312" w:hAnsi="仿宋_GB2312" w:eastAsia="仿宋_GB2312" w:cs="仿宋_GB2312"/>
          <w:color w:val="000000" w:themeColor="text1"/>
          <w:sz w:val="24"/>
          <w14:textFill>
            <w14:solidFill>
              <w14:schemeClr w14:val="tx1"/>
            </w14:solidFill>
          </w14:textFill>
        </w:rPr>
        <w:t>为载气时），0～1250 ml/min（以 H</w:t>
      </w:r>
      <w:r>
        <w:rPr>
          <w:rFonts w:ascii="仿宋_GB2312" w:hAnsi="仿宋_GB2312" w:eastAsia="仿宋_GB2312" w:cs="仿宋_GB2312"/>
          <w:color w:val="000000" w:themeColor="text1"/>
          <w:sz w:val="24"/>
          <w:vertAlign w:val="subscript"/>
          <w14:textFill>
            <w14:solidFill>
              <w14:schemeClr w14:val="tx1"/>
            </w14:solidFill>
          </w14:textFill>
        </w:rPr>
        <w:t>2</w:t>
      </w:r>
      <w:r>
        <w:rPr>
          <w:rFonts w:ascii="仿宋_GB2312" w:hAnsi="仿宋_GB2312" w:eastAsia="仿宋_GB2312" w:cs="仿宋_GB2312"/>
          <w:color w:val="000000" w:themeColor="text1"/>
          <w:sz w:val="24"/>
          <w14:textFill>
            <w14:solidFill>
              <w14:schemeClr w14:val="tx1"/>
            </w14:solidFill>
          </w14:textFill>
        </w:rPr>
        <w:t>或He为载气时）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3.3液体自动进样器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3.3.1除了洗瓶位和废液瓶位以外，单个自动进样器和扩展盘2ml样品瓶位数不少于160位，非三合一多功能进样器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3.3.2为保证使用灵活性，扩展盘可按照实际需求是否安装，除去扩展盘后，除了洗瓶位和废液瓶位以外，单个2ml样品盘位可维持16位，非三合一多功能进样器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3.3.3进样量范围：0.05～250ul</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3.3.4自动进样针可以自行调节进样深度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3.3.5可实行快速进样，进样速度 0.1 sec</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3.3.6重叠进样，节省时间，提高效率</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▲3.3.7进样器具有自动标液配制、自动稀释、柱前衍生、加热和制冷等扩展功能，加热温度最大可以到80℃，加热时间不小于60min。（提供技术说明书进行佐证）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3.4顶空进样器</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★3.4.1样品盘位数：≥110位；同时或程序加热位数：≥12位。（提供仪器实物图片证明或制造商技术说明书进行佐证）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3.4.2顶空进样系统采用阀和定量管的进样方式。标配的全电子气路技术，使用户可以采用软件对仪器进行全面控制（顶空瓶压和GC 柱头压可以独立控制），电子压力控制进度：0.001PSI，顶空采用的气体可以是氢气，氦气，氮气等与色谱部分相同的气体；</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3.4.3化学惰性的样品流路，在每次分析间隔全自动地吹扫样品和放空管线，可对样品瓶独立加压和泄压。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3.4.4样品瓶支持10、20和22mL，在单次运行序列中可以使用不同尺寸的样品瓶。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3.4.5在常规提取模式下采用重叠加热方式，可以容纳≥12个样品瓶，同时可以保持每个样品瓶恒定的加热时间。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3.4.6多次顶空提取（MHE）模式，每个样品瓶可以进行多达100 次顶空提取；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3.4.7多次顶空浓缩（MHC）模式，从单个样品瓶可以进行多达100 次顶空提取，紧接着用一台GC 开始分析以得到最高的灵敏度。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3.4.8可调整任何一个参数用于优化顶空平衡：平衡时间、加热炉温度、或样品瓶摇动等。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3.4.9顶空进样峰面积重现性：≤0.7% RSD；</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3.4.10加热炉、阀与定量环和传输线全都可以进行温度控制，温度设定范围：室温以上5℃-300℃，以1℃增量设置。实际温度精度为0.1℃，也可以设定为关闭（不控制）。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▲3.4.11顶空进样器集成GC通讯，以直接在GC触摸屏界面上控制并查看顶空进样器的状态信息，可设定顶空温度、时间等顶空参数。（提供GC触摸屏控制顶空的实物图片进行佐证）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3.4.12智能暂停按钮和样品盘架LED可显示顶空的状态；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3.4.13控制软件通过GC外部的LVDS接口进行连接，并可通过GC 和MSD 数据系统进行综合控制，系统的实际状态与GC和GC/MS状态联合显示，顶空序列窗口中图形化显示每个样品的细节信息。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3.4.14与气相色谱仪及气质联用仪连接时，采用简单实用的进样口连接方式，确保更换进样口零部件的方便性。可以和液体进样分开连接也可以集成在同个进样口</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3.5热裂解系统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3.5.1可实现四种分析方式：单纯瞬间裂解 (Single-Shot Py)，热解吸/瞬间裂解组合 (Double Shot Analysis)，释放气体分析 (EGA)，切割－释放气体分析 (Heart-Cut EGA)</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3.5.2加热炉：竖式微型炉（陶瓷加热圆筒500W） 裂解温度从室温+10℃ —1050℃，控制精度：± 0.1℃</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3.5.3裂解温度程序：4阶段(1-600℃/min; 1℃/min 步进)</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3.5.4大于45位自动进样器：自动圆盘式进样器，进样器可自动实现样品杯垂直掉入裂解炉，自动收集裂解完成后的样品杯，同时兼容四种裂解模式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3.5.5</w:t>
      </w:r>
      <w:r>
        <w:rPr>
          <w:rFonts w:ascii="仿宋_GB2312" w:hAnsi="仿宋_GB2312" w:eastAsia="仿宋_GB2312" w:cs="仿宋_GB2312"/>
          <w:color w:val="000000" w:themeColor="text1"/>
          <w:sz w:val="2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Py-GC接口（ITF)：不锈钢加热套管 (225W)，温度范围40℃～450℃(1℃步进)/ 精度±0.1℃</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3.5.6软件：裂解器软件通过PC控制，与GC软件独立操作</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3.5.7高分子聚合物专用谱库必须为独立的谱库软件，必须包含UA-5色谱柱和UA-WAX柱的色谱图信息，必须包含EGA库，聚合物库，裂解产物库和添加剂库，软件中必须含有大于1300种聚合物的EGA图谱和聚合物谱图可供检索，必须含有大于500种高分子常用添加剂图谱可供检索（需提供独立谱库软件版本截图证明，及提供官方1300聚合物清单和500种添加剂清单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3.6火焰离子化检测器（FID）</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3.6.1独立电子压力/流量控制（EPC）</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3.6.2最低检测限：≤1.2 pg碳/秒</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3.6.3最高使用温度450℃，自动灭火检测，自动点火</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3.6.4线性动态范围：10</w:t>
      </w:r>
      <w:r>
        <w:rPr>
          <w:rFonts w:ascii="仿宋_GB2312" w:hAnsi="仿宋_GB2312" w:eastAsia="仿宋_GB2312" w:cs="仿宋_GB2312"/>
          <w:color w:val="000000" w:themeColor="text1"/>
          <w:sz w:val="24"/>
          <w:vertAlign w:val="superscript"/>
          <w14:textFill>
            <w14:solidFill>
              <w14:schemeClr w14:val="tx1"/>
            </w14:solidFill>
          </w14:textFill>
        </w:rPr>
        <w:t>7</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3.6.5 FID最大采集速率≥800Hz，可在工作站软件上根据使用需求设置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3.7热导检测器（TCD）</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3.7.1最高操作温度：≥400℃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3.7.2最低检测限：≤400 pg 丙烷/mL</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3.7.3线性范围：≥10</w:t>
      </w:r>
      <w:r>
        <w:rPr>
          <w:rFonts w:ascii="仿宋_GB2312" w:hAnsi="仿宋_GB2312" w:eastAsia="仿宋_GB2312" w:cs="仿宋_GB2312"/>
          <w:color w:val="000000" w:themeColor="text1"/>
          <w:sz w:val="24"/>
          <w:vertAlign w:val="superscript"/>
          <w14:textFill>
            <w14:solidFill>
              <w14:schemeClr w14:val="tx1"/>
            </w14:solidFill>
          </w14:textFill>
        </w:rPr>
        <w:t>5</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3.8微池电子捕获检测器</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★3.8.1最低检测限：&lt;3.8fg/mL（林丹），采用标准校验条件。（投标人需提供技术说明书加以佐证）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3.8.2线性动态范 围：&gt; 5 × 10</w:t>
      </w:r>
      <w:r>
        <w:rPr>
          <w:rFonts w:ascii="仿宋_GB2312" w:hAnsi="仿宋_GB2312" w:eastAsia="仿宋_GB2312" w:cs="仿宋_GB2312"/>
          <w:color w:val="000000" w:themeColor="text1"/>
          <w:sz w:val="24"/>
          <w:vertAlign w:val="superscript"/>
          <w14:textFill>
            <w14:solidFill>
              <w14:schemeClr w14:val="tx1"/>
            </w14:solidFill>
          </w14:textFill>
        </w:rPr>
        <w:t>4</w:t>
      </w:r>
      <w:r>
        <w:rPr>
          <w:rFonts w:ascii="仿宋_GB2312" w:hAnsi="仿宋_GB2312" w:eastAsia="仿宋_GB2312" w:cs="仿宋_GB2312"/>
          <w:color w:val="000000" w:themeColor="text1"/>
          <w:sz w:val="24"/>
          <w14:textFill>
            <w14:solidFill>
              <w14:schemeClr w14:val="tx1"/>
            </w14:solidFill>
          </w14:textFill>
        </w:rPr>
        <w:t>（林丹）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▲3.8.3微量池体积＜200ul,可最大程度减小污染并优化灵敏度。（投标人需提供微池图片或技术说明书加以佐证）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3.8.4最高操作温度 400℃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3.8.5标准 EPC 尾吹气类型：氩气/5% 甲烷 或氮气；0–150 mL/min</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3.8.6 ECD最大采集速率≥800Hz，可在工作站软件上根据使用需求设置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3.9火焰光度检测器（FPD）</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▲3.9.1 MDL &lt; 45 fg P/s，采用甲基对硫磷时 &lt; 2.5 Pg S/s 。（投标人需提供技术说明书加以佐证）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3.9.2动态范围 &gt; 10</w:t>
      </w:r>
      <w:r>
        <w:rPr>
          <w:rFonts w:ascii="仿宋_GB2312" w:hAnsi="仿宋_GB2312" w:eastAsia="仿宋_GB2312" w:cs="仿宋_GB2312"/>
          <w:color w:val="000000" w:themeColor="text1"/>
          <w:sz w:val="24"/>
          <w:vertAlign w:val="superscript"/>
          <w14:textFill>
            <w14:solidFill>
              <w14:schemeClr w14:val="tx1"/>
            </w14:solidFill>
          </w14:textFill>
        </w:rPr>
        <w:t>3</w:t>
      </w:r>
      <w:r>
        <w:rPr>
          <w:rFonts w:ascii="仿宋_GB2312" w:hAnsi="仿宋_GB2312" w:eastAsia="仿宋_GB2312" w:cs="仿宋_GB2312"/>
          <w:color w:val="000000" w:themeColor="text1"/>
          <w:sz w:val="24"/>
          <w14:textFill>
            <w14:solidFill>
              <w14:schemeClr w14:val="tx1"/>
            </w14:solidFill>
          </w14:textFill>
        </w:rPr>
        <w:t xml:space="preserve"> S，采用甲基对硫磷时为 10</w:t>
      </w:r>
      <w:r>
        <w:rPr>
          <w:rFonts w:ascii="仿宋_GB2312" w:hAnsi="仿宋_GB2312" w:eastAsia="仿宋_GB2312" w:cs="仿宋_GB2312"/>
          <w:color w:val="000000" w:themeColor="text1"/>
          <w:sz w:val="24"/>
          <w:vertAlign w:val="superscript"/>
          <w14:textFill>
            <w14:solidFill>
              <w14:schemeClr w14:val="tx1"/>
            </w14:solidFill>
          </w14:textFill>
        </w:rPr>
        <w:t>4</w:t>
      </w:r>
      <w:r>
        <w:rPr>
          <w:rFonts w:ascii="仿宋_GB2312" w:hAnsi="仿宋_GB2312" w:eastAsia="仿宋_GB2312" w:cs="仿宋_GB2312"/>
          <w:color w:val="000000" w:themeColor="text1"/>
          <w:sz w:val="24"/>
          <w14:textFill>
            <w14:solidFill>
              <w14:schemeClr w14:val="tx1"/>
            </w14:solidFill>
          </w14:textFill>
        </w:rPr>
        <w:t xml:space="preserve"> P。</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3.9.3选择性 106 g S/g C，106 g P/g C。</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3.9.4数据采集速率不小于800 Hz。</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3.9.5最高操作温度 400℃。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3.9.6同一FPD检测器可支持双波长检测。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3.10氮磷检测器（NPD）</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▲3.10.1  MDL &lt; 0.3 pg N/s，采用偶氮苯/马拉硫磷混合物时 &lt; 0.04 pg P/s。（投标人需提供技术说明书加以佐证）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3.10.2 选择性为 25000 到 1 gN/gC，采用偶氮苯/马拉硫磷混合物时为 75000 到 1 gP/gC</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3.10.3 动态范围 &gt; 10</w:t>
      </w:r>
      <w:r>
        <w:rPr>
          <w:rFonts w:ascii="仿宋_GB2312" w:hAnsi="仿宋_GB2312" w:eastAsia="仿宋_GB2312" w:cs="仿宋_GB2312"/>
          <w:color w:val="000000" w:themeColor="text1"/>
          <w:sz w:val="24"/>
          <w:vertAlign w:val="superscript"/>
          <w14:textFill>
            <w14:solidFill>
              <w14:schemeClr w14:val="tx1"/>
            </w14:solidFill>
          </w14:textFill>
        </w:rPr>
        <w:t>4</w:t>
      </w:r>
      <w:r>
        <w:rPr>
          <w:rFonts w:ascii="仿宋_GB2312" w:hAnsi="仿宋_GB2312" w:eastAsia="仿宋_GB2312" w:cs="仿宋_GB2312"/>
          <w:color w:val="000000" w:themeColor="text1"/>
          <w:sz w:val="24"/>
          <w14:textFill>
            <w14:solidFill>
              <w14:schemeClr w14:val="tx1"/>
            </w14:solidFill>
          </w14:textFill>
        </w:rPr>
        <w:t xml:space="preserve"> N，采用偶氮苯/马拉硫磷混合物时 &gt; 10</w:t>
      </w:r>
      <w:r>
        <w:rPr>
          <w:rFonts w:ascii="仿宋_GB2312" w:hAnsi="仿宋_GB2312" w:eastAsia="仿宋_GB2312" w:cs="仿宋_GB2312"/>
          <w:color w:val="000000" w:themeColor="text1"/>
          <w:sz w:val="24"/>
          <w:vertAlign w:val="superscript"/>
          <w14:textFill>
            <w14:solidFill>
              <w14:schemeClr w14:val="tx1"/>
            </w14:solidFill>
          </w14:textFill>
        </w:rPr>
        <w:t>4</w:t>
      </w:r>
      <w:r>
        <w:rPr>
          <w:rFonts w:ascii="仿宋_GB2312" w:hAnsi="仿宋_GB2312" w:eastAsia="仿宋_GB2312" w:cs="仿宋_GB2312"/>
          <w:color w:val="000000" w:themeColor="text1"/>
          <w:sz w:val="24"/>
          <w14:textFill>
            <w14:solidFill>
              <w14:schemeClr w14:val="tx1"/>
            </w14:solidFill>
          </w14:textFill>
        </w:rPr>
        <w:t xml:space="preserve"> P</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3.10.4 Blos 铷珠标准（不支持白色陶瓷铷珠）最高操作温度 400℃</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3.11仪器控制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3.11.1采用工作站软件（中英文版本可选），使用图形化的用户界面，方便仪器控制参数，数据采集及计算处理参数的设定；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3.11.2早期维护预警：提供消耗元件累计使用情况，以便及时进行系统预防性维护；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3.11.3电子日志：实时记录仪器使用操作情况，随时查阅仪器状态。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3.11.4报告：内置多种报告格式，智能化用可编辑个性化的报告模板；</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3.11.5 采用多级登录和权限管理，保证实验数据原始性，可追溯性和方法的安全。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3.11.6气相色谱具有保留时间锁定（RTL）功能，此功能通过软件自动调整仪器工作参数，在五个不同条件下进样，分析锁定目标化合物而实现；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3.11.7具备中文在线帮助。</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▲3.11.8气相色谱同一个检测器同时设置不低于8路信号，并可设置同时出不低于8路色谱图。（提供仪器软件截图或技术说明书作为佐证资料）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▲3.11.9待机模式：仪器做样结束后，自动进入待机模式，柱温箱温度可自动调节至预设温度，无需单独设立程序升降温方法。（提供仪器软件截图或技术说明书作为佐证资料）</w:t>
      </w:r>
    </w:p>
    <w:p>
      <w:pPr>
        <w:pStyle w:val="4"/>
        <w:ind w:firstLine="482"/>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（二）采购包2：高效液相色谱仪</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1、工作条件：</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1.1工作电压：220V±10%，50Hz</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1.2温度：4.0~40.0 °C</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1.3湿度：20%~80%</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2、技术指标：</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2.1四元溶剂管理系统</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2.1.1色谱泵：一体式独立柱塞，数控直线驱动色谱泵技术，压力传感器数量≥2，无需阻尼器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2.1.2泵压力传感器反馈回路：2路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2.1.3流量范围：0.001~ 5.000 mL/min，增量为0.001 mL，全流量范围最大操作压力≥9500psi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2.1.4脱气：集成式真空脱气，4个排气仓</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2.1.5柱塞清洗：自动，可编辑</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2.1.6混合准确度：≤± 0.5%，不随反压变化</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2.1.7混合精度：≤±0.15%RSD，不随反压变化</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▲2.1.8梯度变化模式：可预编10种以上种梯度曲线，分为线性、步进、凹线(3种或更多)、凸线(3种或更多)四种类型，由色谱软件实现准确控制。（需提供梯度曲线截图证明）</w:t>
      </w:r>
    </w:p>
    <w:p>
      <w:pPr>
        <w:pStyle w:val="4"/>
        <w:ind w:firstLine="482"/>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★2.1.9内置自动缓冲盐配置功能：可实现自动配置缓冲盐浓度和pH值梯度变化，准确度: ±0.1。（需提供软件或其他官方文献截图证明）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2.1.10智能梯度起始模式：≥3（进样前，进样后，进样同步）</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2.2自动进样器管理系统</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2.2.1流通针式（FTN）进样模式</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2.2.2定量同步：泵和进样器之间可实现进样同步，提高保留时间重现性</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2.2.3样品容量：≥96（2 mL样品瓶架）</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2.2.4样品交叉污染/样品残留：&lt;0.002%（咖啡因），UV条件下</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2.2.5样品室温度范围：4℃~40℃，增量：0.1℃</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2.3色谱柱管理器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2.3.1温度范围：室温~65.0℃</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温度准确度≤+/- 0.5 °C</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温度稳定度≤+/- 0.3 °C</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2.3.2加热模式：强制空气循环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▲2.3.3具有色谱柱使用信息记录技术，可追踪色谱柱使用信息和历史。（需提供官网截图证明）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2.4二极管阵列检测器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2.4.1波长范围：190~800 nm，全波长范围只用氘灯不用钨灯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2.4.2线性范围：≤ 5% (2.5 AU)，对羟基苯甲酸丙酯，257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▲2.4.3具有灯优化程序：可在灯使用寿命期间充分降低整个氘谱范围内的噪音水平。（需提供灯优化对比谱图佐证）</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2.4.4流通池：梯形狭缝池，消除示差折光效应</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2.4.5池长：10 mm（分析池）；池体积：8.4 µL（分析池）</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2.4.6流通池耐压：1000 psi（分析池）</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2.4.7固定狭缝：保持良好线性和光谱分辨率，简化操作</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2.4.8可将所有组分的最大吸收波长值整合成一张色谱图，无需逐个设置波长来寻找每个组分的最大吸收波长值</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2.4.9具备建立标准物质光谱库功能</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2.5紫外/可见光检测器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▲2.5.1波长范围：190~700 nm，全波长范围只用氘灯不用钨灯。（需提供官网截图证明）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2.5.2线性范围：≤ 5% (2.5 AU)，对羟基苯甲酸丙酯，257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2.5.3吸收范围：0.0001~4.0000 AU</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2.5.4内置比色池，实现紫外光谱扫描功能</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2.5.5池长：10 mm（分析池）；池体积：16.3 µL（分析池）</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2.5.6流通池耐压：≥1000 psi（分析池）</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2.6蒸发光散射检测器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2.6.1雾化器：前面板预装配，卡口式设计</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2.6.2漂移管温度：5~100℃，0.1°C增量</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▲2.6.3喷雾器具有主动加热和冷却功能。（需提供官网截图证明）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2.6.4雾化器气体种类：氮气、空气</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2.6.5雾化器压力：20~60 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2.6.6雾化器气流量：300~3000 ml/min</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2.6.7兼容液体流量：3.000 mL/min，100%水</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2.6.8信号范围：0.1~2000光散射单位</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2.7荧光检测器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2.7.1激发波长：200~890 nm，发射波长：210~900 nm，发射波长与激发波长设置差值：10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2.7.2带宽：20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▲2.7.3数据采集模式：具有至少1个3D扫描通道。（需提供官网截图证明）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2.7.4灵敏度：S/N≥1000 (水测量信号的拉曼光谱）</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2.7.5测量范围：0.001~100,000.000 发射单位(默认)</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2.7.6流通池：≤ 13ul，长轴向设计</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2.7.7光源：氙灯,150W</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2.7.8采样频率：单(波长)模式最高20 Hz；3D模式为1 Hz</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2.7.9流通池耐压：145 psi (10 bar)</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3、色谱数据管理系统</w:t>
      </w:r>
    </w:p>
    <w:p>
      <w:pPr>
        <w:pStyle w:val="4"/>
        <w:ind w:firstLine="482"/>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★3.1配置甲骨文数据库（无需标配，可另行嵌入），保证数据的安全性和稳定性。（需提供软件数据库截图证明）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 ≥16种校正拟合定量计算方式，适应不同分析及不同检测器应用。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 ≥10种数据检索模式，适应大量数据管理和检索。</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3.4带有系统适用性软件，可以计算柱效、拖尾因子、分离度等色谱适用性参数。</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3.5用溶剂角及噪音角计算色谱峰一致性，对色谱峰进行纯度分析以判断是否有共流出物（PDA检测器）。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3.6用户可自定义样品信息和编辑计算公式实现特殊的计算：样品信息类型 ≥6；数据类型≥6。</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3.7积分模式：传统积分和峰尖寻迹拟和积分，可提供更准确的肩峰、负峰和拖尾峰的积分。</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4、基本配置：</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4.1四元梯度泵                     3套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4.2制冷进样器                     3套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4.3柱温箱                   3套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4.4二极管检测器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4.5荧光检测器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4.6紫外检测器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4.7蒸发光检测器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4.8空气发生器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4.9数据处理工作站（包括数据输出设备）     3套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1.10数据处理软件                   3套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1.11色谱柱 C18  2.1×100mm ，1.8μm     3支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4.12进样瓶                  300个</w:t>
      </w:r>
    </w:p>
    <w:p>
      <w:pPr>
        <w:pStyle w:val="4"/>
        <w:ind w:firstLine="482"/>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（三）采购包3：超高效液相色谱仪</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1、工作条件：</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1.1工作电压：220V±10%，50Hz</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1.2温度：4.0~40.0℃ (39.2~104.0 °F)</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1.3湿度：20%~80%，无冷凝</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2、技术指标：</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2.1四元溶剂管理系统</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▲2.1.1色谱泵：一体式独立柱塞，数控直线驱动色谱泵技术，压力传感器数量≥2，无需阻尼器。（需提供泵的构造图证明）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2.1.2溶剂脱气：集成式真空脱气，4个排气仓；</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2.1.3溶剂混合：自动在线混合溶剂，得到不同pH、离子强度以及含不同有机改性剂的流动相</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2.1.4流速范围：0.010~2.000 mL/min，增量为0.001 mL</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2.1.5最大操作压力：15,000 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2.1.6（系统总）延迟体积：≤400 μL，不随反压变化</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2.1.7梯度延迟体积：≤300 μL（包括标准100 uL混合器）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2.1.8梯度准确度：±0.5%，不随反压变化</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2.1.9梯度精度：±0.15% RSD，不随反压变化</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▲2.1.10自动缓冲盐配置功能：可实现自动配置缓冲盐浓度和pH值梯度，准确度±0.1。（需提供软件截图证明）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▲2.1.11梯度变化模式：预编11种梯度曲线，分为1线性、2步进、4凹线、4凸线四种类型。（需提供梯度曲线截图证明）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2.1.12主动单向阀：智能入口阀（主动阀）；</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2.1.13泵密封清洗：配备自动清洗系统，用于冲洗高压密封件的后部和柱塞杆</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2.2自动进样器管理系统</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2.2.1流通针式（FTN）进样模式</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2.2.2定量同步：泵和进样器之间可实现进样同步，提高保留时间重现性</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2.2.3最大样品容量：≥96（2 mL样品瓶架）</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2.2.4样品交叉污染度（样品残留）：对于咖啡因，≤0.002% (UV)</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2.2.5自动进样循环时间：&lt;30 s（进样之间, 带针外壁进样前后各6s清洗）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2.2.6样品室温度范围：4℃~40℃，增量：0.1℃</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温度准确度：传感器处为+/- 0.5℃</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稳定稳定性：传感器处为+/- 1.0℃</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2.2.7样品管理器高级功能：自动稀释、自动添加和预加载</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2.3柱温箱</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2.3.1温度范围：室温~90.0℃，增量：0.1℃</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温度准确度± 0.5℃</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温度稳定度± 0.3℃</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2.3.2即插主动式溶剂预热器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2.3.3溶剂平衡：主动预加热</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2.3.4具有色谱柱使用信息记录技术，可追踪色谱柱使用信息和历史</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2.4二极管阵列检测器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▲2.4.1波长范围：190~800nm，全波长范围只用氘灯不用钨灯。（需提供官网截图佐证）</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2.4.2具有灯优化软件：可在灯使用寿命期间充分降低整个氘谱范围内的噪音水平</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2.4.3数字分辨率：1.2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2.4.4线性范围：2.0 AU</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2.4.5流通池长：10 mm, 池体积：500 nL（分析池）</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2.4.6流通池耐压：1000 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2.4.7可将所有组分的最大吸收波长值整合成一张色谱图，无需逐个设置波长来寻找每个组分的最大吸收波长值</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2.4.8具备建立标准物质光谱库功能</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2.5紫外/可见光检测器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2.5.1波长范围：190~700 nm，全波长范围只用氘灯不用钨灯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2.5.2检测通道：2个</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2.5.3线性范围：2.5 AU</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2.5.4吸收范围：0.0001~4.0000 AU</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▲2.5.5流通池：光导流动池，提高光通量。（需提供官网截图佐证）</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2.5.6流通池耐压：1000psi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2.6蒸发光散射检测器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2.6.1雾化器：前置装配，卡口式设计，便于后期维护</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2.6.2漂移管温度：5~100℃，0.1°C增量</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2.6.3雾化器三种温度控制模式：加热、常温、冷却</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2.6.4雾化器气体种类：氮气、空气</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2.6.5雾化器压力：20~60 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2.6.6雾化器气流量：300~3000 mL/min</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2.6.7漂移管温度：室温~100℃</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2.6.8兼容液体流量：3.000 mL/min，100%水</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2.6.9信号范围：0.1~2000光散射单位</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2.7荧光检测器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2.7.1激发波长：200~890 nm发射波长：210~900 nm，发射波长与激发波长设置差值：10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2.7.2带宽：20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▲2.7.3具有多种检测模式：2D、3D和动态光谱扫描。（需提供官网截图佐证）</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2.7.4灵敏度：S/N ≥1000 (水测量信号的拉曼光谱）</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2.7.5测量范围：0.001~100,000.000 发射单位</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2.7.6流通池：≤2 μL，长轴向设计</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2.7.7光源：汞/弧氙灯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2.7.8采样频率：单(波长)模式最高20 Hz；3D模式为1 Hz</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2.7.9流通池耐压：145 psi (10 bar)</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2.8示差检测器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2.8.1折光率范围：1.00~1.75 RIU，测量范围：7.0 x 10</w:t>
      </w:r>
      <w:r>
        <w:rPr>
          <w:rFonts w:ascii="仿宋_GB2312" w:hAnsi="仿宋_GB2312" w:eastAsia="仿宋_GB2312" w:cs="仿宋_GB2312"/>
          <w:color w:val="000000" w:themeColor="text1"/>
          <w:sz w:val="24"/>
          <w:vertAlign w:val="superscript"/>
          <w14:textFill>
            <w14:solidFill>
              <w14:schemeClr w14:val="tx1"/>
            </w14:solidFill>
          </w14:textFill>
        </w:rPr>
        <w:t>-9</w:t>
      </w:r>
      <w:r>
        <w:rPr>
          <w:rFonts w:ascii="仿宋_GB2312" w:hAnsi="仿宋_GB2312" w:eastAsia="仿宋_GB2312" w:cs="仿宋_GB2312"/>
          <w:color w:val="000000" w:themeColor="text1"/>
          <w:sz w:val="24"/>
          <w14:textFill>
            <w14:solidFill>
              <w14:schemeClr w14:val="tx1"/>
            </w14:solidFill>
          </w14:textFill>
        </w:rPr>
        <w:t xml:space="preserve"> RIU~5.0 x 10</w:t>
      </w:r>
      <w:r>
        <w:rPr>
          <w:rFonts w:ascii="仿宋_GB2312" w:hAnsi="仿宋_GB2312" w:eastAsia="仿宋_GB2312" w:cs="仿宋_GB2312"/>
          <w:color w:val="000000" w:themeColor="text1"/>
          <w:sz w:val="24"/>
          <w:vertAlign w:val="superscript"/>
          <w14:textFill>
            <w14:solidFill>
              <w14:schemeClr w14:val="tx1"/>
            </w14:solidFill>
          </w14:textFill>
        </w:rPr>
        <w:t xml:space="preserve">-4 </w:t>
      </w:r>
      <w:r>
        <w:rPr>
          <w:rFonts w:ascii="仿宋_GB2312" w:hAnsi="仿宋_GB2312" w:eastAsia="仿宋_GB2312" w:cs="仿宋_GB2312"/>
          <w:color w:val="000000" w:themeColor="text1"/>
          <w:sz w:val="24"/>
          <w14:textFill>
            <w14:solidFill>
              <w14:schemeClr w14:val="tx1"/>
            </w14:solidFill>
          </w14:textFill>
        </w:rPr>
        <w:t>RIU</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2.8.2线性动态范围：在5.0 x 10</w:t>
      </w:r>
      <w:r>
        <w:rPr>
          <w:rFonts w:ascii="仿宋_GB2312" w:hAnsi="仿宋_GB2312" w:eastAsia="仿宋_GB2312" w:cs="仿宋_GB2312"/>
          <w:color w:val="000000" w:themeColor="text1"/>
          <w:sz w:val="24"/>
          <w:vertAlign w:val="superscript"/>
          <w14:textFill>
            <w14:solidFill>
              <w14:schemeClr w14:val="tx1"/>
            </w14:solidFill>
          </w14:textFill>
        </w:rPr>
        <w:t>-4</w:t>
      </w:r>
      <w:r>
        <w:rPr>
          <w:rFonts w:ascii="仿宋_GB2312" w:hAnsi="仿宋_GB2312" w:eastAsia="仿宋_GB2312" w:cs="仿宋_GB2312"/>
          <w:color w:val="000000" w:themeColor="text1"/>
          <w:sz w:val="24"/>
          <w14:textFill>
            <w14:solidFill>
              <w14:schemeClr w14:val="tx1"/>
            </w14:solidFill>
          </w14:textFill>
        </w:rPr>
        <w:t xml:space="preserve"> RIU范围内≤ 5%</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2.8.3温度控制：内部温度控制：30~55°C，±0.5°C，增量1°C</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2.8.4整体阀设计：清洗，循环，限压阀</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2.8.5流通池体积：1.3 μL</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2.8.6内部管路体积：≤15 μL</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2.8.7流通池设计：梯形狭缝的光路设计，从硬件上消除示差折光效应</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2.8.8最大耐压：≤145 psi</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2.8.9光源：LED 870 nm</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▲2.8.10具有操作面板，可以独立设定工作参数、显示运行状态。（需提供实物照片佐证）</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3、色谱数据管理系统</w:t>
      </w:r>
    </w:p>
    <w:p>
      <w:pPr>
        <w:pStyle w:val="4"/>
        <w:ind w:firstLine="482"/>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★3.1配置甲骨文数据库（可另行嵌入），保证数据的安全性和稳定性。（需提供软件数据库截图证明）</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3.2 ≥16种校正拟合定量计算方式，适应不同分析及不同检测器应用。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3.3 ≥10种数据检索模式，适应大量数据管理和检索。</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3.4带有系统适用性软件，可以计算柱效、拖尾因子、分离度等色谱适用性参数。</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3.5用溶剂角及噪音角计算色谱峰一致性，对色谱峰进行纯度分析以判断是否有共流出物（PDA检测器）。</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3.6用户可自定义样品信息和编辑计算公式实现特殊的计算：样品信息类型 ≥6；数据类型≥6。</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3.7积分模式：传统积分和峰尖寻迹拟和积分，可提供更准确的肩峰、负峰和拖尾峰的积分。</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4、基本配置：</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4.1四元梯度泵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4.2制冷进样器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4.3柱温箱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4.4二极管检测器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4.5荧光检测器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4.6紫外检测器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4.7蒸发光检测器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4.8示差检测器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4.9空气发生器         </w:t>
      </w: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 xml:space="preserve"> 1套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4.10数据处理工作站      </w:t>
      </w: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 xml:space="preserve">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4.11数据处理软件         2套</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4.12色谱柱            2支</w:t>
      </w:r>
    </w:p>
    <w:p>
      <w:pPr>
        <w:pStyle w:val="4"/>
        <w:ind w:firstLine="480"/>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4.13进样瓶           </w:t>
      </w: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200个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4.14不间断电源（10KVA，2小时）  1套</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（四）采购包4：离子色谱仪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1、总体性能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1.1适用于食品样品、水中及双氧水/异丙醇等电子化学品样品中痕量无机阴离子分析要求。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1.2可实现多样品分析自动化，并具备在线样品前处理功能。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1.3模块式结构设计，透明前面板，方便观察内部流路系统及仪器工作状况。</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▲1.4无需氮气或氦气等压缩气体的辅助，便于操作和移动。（提供原厂公开彩页资料或技术白皮书证明）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2、工作条件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2.1环境温度： 5 -45℃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2.2湿度范围：20-80%相对湿度。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3、系统配置要求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3.1离子色谱分析系统，主要包含智能高压泵单元、电导检测器、阴离子化学抑制器、二氧化碳抑制器、电子六通进样阀、柱温箱、智能阴离子色谱柱、自动进样器、在线预浓缩-基体消除技术系统、淋洗液发生器、系统操控工作站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4、具体技术要求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4.1泵单元</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4.1.1类型：采用化学惰性的非金属泵头，PEEK管路,适合于pH为0～14的水相淋洗液以及各种反相淋洗液体系。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4.1.2流速范围：0.001-18mL/min或更宽。</w:t>
      </w:r>
    </w:p>
    <w:p>
      <w:pPr>
        <w:pStyle w:val="4"/>
        <w:ind w:firstLine="482"/>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★4.1.3流速增幅：≤0.001 mL/min。（提供原厂公开彩页资料或技术白皮书证明）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4.1.4流速重现性：≤0.1％。</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4.1.5最大耐压：≥35 Mpa。</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4.1.6配置自动安全关机功能：压力超过上下限时自动关机。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4.1.7内置智能芯片，能自动优化流速。</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4.1.8具备高压泵维护记录追踪功能。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4.1.9具备高压泵维护定时提醒功能。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4.1.10内置在线淋洗液真空脱气装置。</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4.1.11内置在线样品真空脱气装置。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 柱恒温箱：</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4.2.1前拉式面板，方便色谱柱及进样阀装卸维护。</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4.2.2控温范围：室温+5℃-室温+35℃或更宽。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4.2.3温度稳定性：&lt;0.1℃。</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4.2.4控制幅度：0.1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4.3电导检测器：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4.3.1 全量程输出范围:数字式0-15000μS/cm或更宽。</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★4.3.2温度稳定性：≤0.001℃。（提供原厂公开彩页资料或技术白皮书证明）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4.3.3电子噪音：＜0.2nS/cm。</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4.3.4温度补偿：0-5%/K可设定。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4.3.5池体积：≤0.9μL。</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▲4.3.6基线噪音：＜0.2ns/cm，65mmol/L浓度KOH淋洗液实际检测。（提供检测图谱证明）。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4.3.7配备智能芯片，可以储存样本色谱图，用于软件验证或培训。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4.3.8电导池常数：13.0-21.0/cm可设定。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4.3.9分辨率：优于0.005ns/cm。</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4.4阴离子化学抑制器（与主机同品牌）</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▲4.4.1类型：柱填充结构，不采用膜结构抑制器，免维护。（提供原厂公开彩页资料或技术白皮书证明）。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▲4.4.2无需外加酸（包括但不限于硫酸、硝酸、盐酸、甲基磺酸等）进行化学再生。（提供原厂公开彩页资料或技术白皮书证明）。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4.4.3最大耐压：≥2.5MPa。</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4.4.4有机溶剂100%兼容。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4.4.5免费保修期≥10年。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4.4.6内置保护装置，遇过高压力会自动切断流路，并报警。</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4.5色谱柱和保护柱</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4.5.1具备智能识别技术，通过软件可读取到色谱柱序列号、批次号、内径/长度/粒径、标准流速/标准进样体积/标准淋洗液、测定次数及总工作时间等信息。</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 系统操作工作站</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4.6.1操作系统：兼容Windows系统。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4.6.2工作站要求:优于16G内存，240G硬盘。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4.6.3功能：可自动识别所有智能组件，并读取其最佳参数信息；仪器控制和数据处理完全由软件进行。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4.6.4软件具有中文版本。</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 自动进样器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4.7.1采用x-y-z定位原理，具有高分辨率注射控制，可实现准确的样品输送。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4.7.2 进样方式：至少具有满环进样、部分定量环进样、拾取模式三种模式。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4.7.3样品位数：≥90位，样品瓶适配液相小瓶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4.7.4 具备缺失样本瓶传感器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4.7.5进样体积：最大进样体积≥5000µL；最小进样体积≤1µL；步进≤1µL</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4.7.6可实现样品插队，自由定位分析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4.7.7高分辨率注射控制，可实现微升级别样品准确输送</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4.7.8支持多通道进样功能</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4.7.9样品盘可更换，可根据使用要求选择不同规格样品盘</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4.8 蠕动泵</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4.8.1转动速率：优于0-40转/分钟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4.8.2方向：顺时针和逆时针双向。</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4.9在线预浓缩-基体消除技术系统</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4.9.1可自动在线去除样品中的非离子基体，避免对于色谱柱的影响，保证实验结果准确性</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4.9.2同时可实现待测组分预浓缩，实现更低含量的分析</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4.9.3进样体积可根据实验检出限要求随时调整</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▲4.9.4进样体积软件直接任意设定，步进≤0.001ml。（提供原厂公开彩页资料或技术白皮书证明）。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4.9.5具备单标多点校正功能，线性优于0.9995</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4.10二氧化碳抑制器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4.10.1内置真空池、特氟龙膜和二氧化碳吸收剂。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4.10.2抑制后背景电导率＜0.2uS/cm，65mmol/L浓度KOH淋洗液实际检测。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4.11淋洗液发生器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4.11.1流速范围：0.1-3 mL/min。</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4.11.2 KOH浓度范围：0.1-100mM。</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4.11.3最大耐压：≥21MPa。</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4.11.4浓度梯度：无限制，可任意设定。</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4.11.5梯度重现性：0.2%。</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4.11.6电解装置（淋洗液发生单元）可重复使用，母液罐使用完后只需要更换KOH试剂罐即可，无需更换电解装置。</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▲4.11.7淋洗液母液罐可直接购买商品化母液使用，也可使用高浓度KOH稀释使用。（需提供第三方商品化母液订货号及订购网页截图证明）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5、基本配置要求：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5.1主机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含以下部件：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5.1.1洗脱液套件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5.1.2高压串联双柱塞泵（含智能芯片）  1台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5.1.3脉冲阻尼器                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5.1.4电子六通进样阀              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5.1.5柱温箱                   1个</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5.1.6阴离子化学抑制器             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5.1.7蠕动泵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5.1.8二氧化碳抑制器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5.1.9在线淋洗液真空脱气装置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5.1.10在线样品真空脱气装置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5.2智能型电导检测器                1台</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5.3阴离子分析柱（含智能芯片）及保护柱    2套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5.4系统操作工作站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5.5自动进样器(含100套样品管及样品管盖)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5.6在线预浓缩-基体消除技术系统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5.7淋洗液发生器（含2瓶KOH淋洗液母液罐）   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5.8输入输出系统                   各1套</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5.9消耗品（至少包含1根蠕动泵管，淋洗液滤芯5个，在线过滤器滤膜10片）</w:t>
      </w:r>
    </w:p>
    <w:p>
      <w:pPr>
        <w:pStyle w:val="4"/>
        <w:ind w:firstLine="480"/>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三、商务要求（以“★”标示的内容为不允许负偏离的实质性要求）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合同签订后120天内，完成安装、调试、计量、培训、并验收合格。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厦门市行政区域内采购人指定地点（中标人负责到货时卸货并搬运至采购人指定的实验室位置）。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验收合格后交付。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1、期次1，说明：1、中标人提供设备的制造标准、安装标准及技术规范等有关资料必须符合国家相应的有关标准、规范要求。 2、仪器设备经计量校准合格后，采购人根据《招标文件》、中标人的《投标文件》、合同、制造厂商的产品验收标准及中华人民共和国有关标准进行验收。中标人对验收不合格的货物负有更换、退货的义务，由此产生的责任及费用由中标人承担。 3、中标人应向采购人提供完整的设备技术资料（纸质版及电子版），如：仪器设备出厂检验报告、合格证书、技术说明书、操作手册、维修保养手册及第三方计量检定机构的计量证书等材料。 4、采购人有权委托国内有检验资质的单位对设备的精度（软硬件）、性能进行复核。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1、预付款，合同签订生效后，达到付款条件起5个工作日内，支付合同总金额的30.00%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2、进度款，设备按采购人要求运抵指定地点、经初步验收合格后，采购人在收到中标人出具的合同总金额发票后，达到付款条件起7个工作日内，支付合同总金额的50.00%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3、进度款，设备安装调试并整体验收合格后，采购人在收到中标人出具的合同总金额发票后，达到付款条件起7个工作日内，支付合同总金额的10.00%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4、进度款，项目验收合格移交使用方后并经财政审核后，达到付款条件起7个工作日内，支付合同总金额的10.00%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本采购包履约保证金为合同金额的3%</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说明：由中标人在本项目合同签订生效后的 7 个工作日内提交至采购人，中标人可自行选择提交履约保证金的方式（非现金）。中标人逾期提交履约保证金的，视为放弃中标。质保期满后，若中标人无任何违约行为全额无息退回其履约保证金。中小企业减半收取履约保证金。</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合同签订后120天内，完成安装、调试、计量、培训、并验收合格。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厦门市行政区域内采购人指定地点（中标人负责到货时卸货并搬运至采购人指定的实验室位置）。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验收合格后交付。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1、期次1，说明：1、中标人提供设备的制造标准、安装标准及技术规范等有关资料必须符合国家相应的有关标准、规范要求。 2、仪器设备经计量校准合格后，采购人根据《招标文件》、中标人的《投标文件》、合同、制造厂商的产品验收标准及中华人民共和国有关标准进行验收。中标人对验收不合格的货物负有更换、退货的义务，由此产生的责任及费用由中标人承担。 3、中标人应向采购人提供完整的设备技术资料（纸质版及电子版），如：仪器设备出厂检验报告、合格证书、技术说明书、操作手册、维修保养手册及第三方计量检定机构的计量证书等材料。 4、采购人有权委托国内有检验资质的单位对设备的精度（软硬件）、性能进行复核。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1、预付款，合同签订生效后，达到付款条件起5个工作日内，支付合同总金额的30.00%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2、进度款，设备按采购人要求运抵指定地点、经初步验收合格后，采购人在收到中标人出具的合同总金额发票后，达到付款条件起7个工作日内，支付合同总金额的50.00%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3、进度款，设备安装调试并整体验收合格后，采购人在收到中标人出具的合同总金额发票后，达到付款条件起7个工作日内，支付合同总金额的10.00%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4、进度款，项目验收合格移交使用方后并经财政审核后，达到付款条件起7个工作日内，支付合同总金额的10.00%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本采购包履约保证金为合同金额的3%</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说明：由中标人在本项目合同签订生效后的 7 个工作日内提交至采购人，中标人可自行选择提交履约保证金的方式（非现金）。中标人逾期提交履约保证金的，视为放弃中标。质保期满后，若中标人无任何违约行为全额无息退回其履约保证金。中小企业减半收取履约保证金。</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合同签订后120天内，完成安装、调试、计量、培训、并验收合格。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厦门市行政区域内采购人指定地点（中标人负责到货时卸货并搬运至采购人指定的实验室位置）。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验收合格后交付。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1、期次1，说明：1、中标人提供设备的制造标准、安装标准及技术规范等有关资料必须符合国家相应的有关标准、规范要求。 2、仪器设备经计量校准合格后，采购人根据《招标文件》、中标人的《投标文件》、合同、制造厂商的产品验收标准及中华人民共和国有关标准进行验收。中标人对验收不合格的货物负有更换、退货的义务，由此产生的责任及费用由中标人承担。 3、中标人应向采购人提供完整的设备技术资料（纸质版及电子版），如：仪器设备出厂检验报告、合格证书、技术说明书、操作手册、维修保养手册及第三方计量检定机构的计量证书等材料。 4、采购人有权委托国内有检验资质的单位对设备的精度（软硬件）、性能进行复核。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1、预付款，合同签订生效后，达到付款条件起5个工作日内，支付合同总金额的30.00%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2、进度款，设备按采购人要求运抵指定地点、经初步验收合格后，采购人在收到中标人出具的合同总金额发票后，达到付款条件起7个工作日内，支付合同总金额的50.00%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3、进度款，设备安装调试并整体验收合格后，采购人在收到中标人出具的合同总金额发票后，达到付款条件起7个工作日内，支付合同总金额的10.00%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4、进度款，项目验收合格移交使用方后并经财政审核后，达到付款条件起7个工作日内，支付合同总金额的10.00%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本采购包履约保证金为合同金额的3%</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说明：由中标人在本项目合同签订生效后的 7 个工作日内提交至采购人，中标人可自行选择提交履约保证金的方式（非现金）。中标人逾期提交履约保证金的，视为放弃中标。质保期满后，若中标人无任何违约行为全额无息退回其履约保证金。中小企业减半收取履约保证金。</w:t>
            </w:r>
          </w:p>
        </w:tc>
      </w:tr>
    </w:tbl>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合同签订后120天内，完成安装、调试、计量、培训、并验收合格。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厦门市行政区域内采购人指定地点（中标人负责到货时卸货并搬运至采购人指定的实验室位置）。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验收合格后交付。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1、期次1，说明：1、中标人提供设备的制造标准、安装标准及技术规范等有关资料必须符合国家相应的有关标准、规范要求。 2、仪器设备经计量校准合格后，采购人根据《招标文件》、中标人的《投标文件》、合同、制造厂商的产品验收标准及中华人民共和国有关标准进行验收。中标人对验收不合格的货物负有更换、退货的义务，由此产生的责任及费用由中标人承担。 3、中标人应向采购人提供完整的设备技术资料（纸质版及电子版），如：仪器设备出厂检验报告、合格证书、技术说明书、操作手册、维修保养手册及第三方计量检定机构的计量证书等材料。 4、采购人有权委托国内有检验资质的单位对设备的精度（软硬件）、性能进行复核。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1、预付款，合同签订生效后，达到付款条件起5个工作日内，支付合同总金额的30.00%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2、进度款，设备按采购人要求运抵指定地点、经初步验收合格后，采购人在收到中标人出具的合同总金额发票后，达到付款条件起7个工作日内，支付合同总金额的50.00%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3、进度款，设备安装调试并整体验收合格后，采购人在收到中标人出具的合同总金额发票后，达到付款条件起7个工作日内，支付合同总金额的10.00%</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4、进度款，项目验收合格移交使用方后并经财政审核后，达到付款条件起7个工作日内，支付合同总金额的10.00%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76" w:type="dxa"/>
          </w:tcPr>
          <w:p>
            <w:pPr>
              <w:rPr>
                <w:color w:val="000000" w:themeColor="text1"/>
                <w14:textFill>
                  <w14:solidFill>
                    <w14:schemeClr w14:val="tx1"/>
                  </w14:solidFill>
                </w14:textFill>
              </w:rPr>
            </w:pP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2076" w:type="dxa"/>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本采购包履约保证金为合同金额的3%</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说明：由中标人在本项目合同签订生效后的 7 个工作日内提交至采购人，中标人可自行选择提交履约保证金的方式（非现金）。中标人逾期提交履约保证金的，视为放弃中标。质保期满后，若中标人无任何违约行为全额无息退回其履约保证金。中小企业减半收取履约保证金。</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其他商务要求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采购包1至采购包4：</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8、报价要求</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8.1本项目报价为总包报价，投标总报价为货物送达采购人指定地点，经采购人验收合格并交付使用所有可能发生的费用，包括设备费、运输、人工费、保险费、采购保管、安装、调试、集成、产品检验检测/计量、验收、操作人员培训、税金、招标代理服务费以及售后服务等费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8.2本次招标为国内公开招标，请投标人报人民币交货价。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8.3投标人对每一种货物只能有一个报价，招标采购单位不接受有选择的报价。</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9、安装与调试，售后服务：</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9.1安装和调试</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接到采购人通知的一周内安排至少2个技术人员到现场安装，并负责调试至合格。应在合同规定的安装调试期内完成该项工作。如因中标人责任而造成延期，所有因延期而产生的费用由中标人承担。</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9.2技术培训</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安装验收完毕后一个月内，中标人派技术工程师对采购人至少2人进行技术培训，内容包括：基本理论、原理、仪器设备的操作、配套软件的使用、仪器设备的维护、安全要点以及其他相关内容，确保采购人操作人员达到下列要求：确保操作人员能熟练使用仪器设备，并能独立排除一般故障；了解仪器设备的结构及工作原理。中标人提供详细的培训课程讲义及培训进度计划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9.3维保服务</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9.3.1本次采购的货物质保期至少</w:t>
      </w:r>
      <w:r>
        <w:rPr>
          <w:rFonts w:hint="eastAsia" w:ascii="仿宋_GB2312" w:hAnsi="仿宋_GB2312" w:eastAsia="仿宋_GB2312" w:cs="仿宋_GB2312"/>
          <w:b/>
          <w:color w:val="000000" w:themeColor="text1"/>
          <w:sz w:val="24"/>
          <w:u w:val="single"/>
          <w:lang w:eastAsia="zh-CN"/>
          <w14:textFill>
            <w14:solidFill>
              <w14:schemeClr w14:val="tx1"/>
            </w14:solidFill>
          </w14:textFill>
        </w:rPr>
        <w:t>壹</w:t>
      </w:r>
      <w:r>
        <w:rPr>
          <w:rFonts w:ascii="仿宋_GB2312" w:hAnsi="仿宋_GB2312" w:eastAsia="仿宋_GB2312" w:cs="仿宋_GB2312"/>
          <w:b/>
          <w:color w:val="000000" w:themeColor="text1"/>
          <w:sz w:val="24"/>
          <w:u w:val="single"/>
          <w14:textFill>
            <w14:solidFill>
              <w14:schemeClr w14:val="tx1"/>
            </w14:solidFill>
          </w14:textFill>
        </w:rPr>
        <w:t>年</w:t>
      </w:r>
      <w:r>
        <w:rPr>
          <w:rFonts w:ascii="仿宋_GB2312" w:hAnsi="仿宋_GB2312" w:eastAsia="仿宋_GB2312" w:cs="仿宋_GB2312"/>
          <w:b/>
          <w:color w:val="000000" w:themeColor="text1"/>
          <w:sz w:val="24"/>
          <w14:textFill>
            <w14:solidFill>
              <w14:schemeClr w14:val="tx1"/>
            </w14:solidFill>
          </w14:textFill>
        </w:rPr>
        <w:t>，保修期自双方代表在设备安装调试后的移交证明文件上签字之日起计算。期间中标人提供一切免费维修服务和免费更换损坏的零部件。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9.3.2在保修期内接到故障电话后即时响应，1 小时内电话响应，12小时内到达，</w:t>
      </w:r>
      <w:r>
        <w:rPr>
          <w:rFonts w:hint="eastAsia" w:ascii="仿宋_GB2312" w:hAnsi="仿宋_GB2312" w:eastAsia="仿宋_GB2312" w:cs="仿宋_GB2312"/>
          <w:color w:val="000000" w:themeColor="text1"/>
          <w:sz w:val="24"/>
          <w:lang w:val="en-US" w:eastAsia="zh-CN"/>
          <w14:textFill>
            <w14:solidFill>
              <w14:schemeClr w14:val="tx1"/>
            </w14:solidFill>
          </w14:textFill>
        </w:rPr>
        <w:t>48</w:t>
      </w:r>
      <w:r>
        <w:rPr>
          <w:rFonts w:ascii="仿宋_GB2312" w:hAnsi="仿宋_GB2312" w:eastAsia="仿宋_GB2312" w:cs="仿宋_GB2312"/>
          <w:color w:val="000000" w:themeColor="text1"/>
          <w:sz w:val="24"/>
          <w14:textFill>
            <w14:solidFill>
              <w14:schemeClr w14:val="tx1"/>
            </w14:solidFill>
          </w14:textFill>
        </w:rPr>
        <w:t>小时内修复，对于在24小时内无法解决的故障问题应提供备用方案或备件。经专业维修工程师诊断、分析，确定设备故障所在，需要更换配件的，需提供详实的维修方案，并注明更换配件的品牌、型号等关键信息，征得采购人同意方可进行更换、维修。维护保养内容至少包含维护保养频次（每年至少1次）、维护保养时间、人员个数、保养内容、服务效果等。</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9.3.3质保期过后，中标人负责对所提供设备终身维修及提供技术咨询，备有所提供设备的备件及消耗品，中标人只收取更换零部件的成本费用。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10、违约责任：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10.1未按期交货的违约责任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10.1.1若中标人未按照合同约定时间或采购人予以宽限的时间内（事先取得采购人同意）交付标的货物，采购人有权要求中标人赔偿。赔偿金额按延迟交付标的金额的0.1%日计算，违约金总额不超过标的金额的5% 。</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10.1.2中标人交付货物的品质、性能、技术标准、质量要求不符合合同约定的，采购人有权向中标人提出更换或退货，且由中标人承担一切更换货物或退货引起的相关费用。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10.2违约终止合同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10.2.1在补救违约而采取的任何其他措施未能实现的情况下，即在采购人发出的违约通知后30 天内（或经采购人书面确认的更长时间内）仍未纠正其下述任何一种违约行为，采购人有权向中标人发出书面违约通知，采购人终止本项目合同：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10.2.2如果中标人未能在合同规定的期限内或双方另行确定的延期交货时间内交付合同约定的货物。</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10.2.3中标人未能履行合同项下的任何其它义务。</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10.3采购人未能如期付款，应事先取得中标人同意。</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11、知识产权：</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11.2若中标人提供的采购标的不符合国家知识产权法律、法规的规定或被有关主管机关认定为假冒伪劣品，则中标人中标资格将被取消；采购人还将按照有关法律、法规和规章的规定进行处理，具体如下：按有关法律、法规和规章的规定追究其违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12、不可抗力</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本项目合同中的不可抗力指不能预见、不能避免、不能克服的客观情况，包括但不限于：自然灾害如地震、台风、洪水、火灾及政府行为、法律规定或其适用的变化或其他任何无法预见、避免或控制的事件。</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13、商务响应要求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13.1投标人或产品制造商提供相应的有效的质量管理体系认证，未按要求提供的将可能导致不得分。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13.2投标人应根据商务条件要求及商务项评分条款提供相应的培训方案、售后服务方案及承诺、业绩情况，并按要求提供相应的佐证材料，未按要求提供的将可能导致不得分。</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14、合同签订</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14.1中标人接到《中标通知书》后，持《中标通知书》与采购人联系合同签订等相关事宜。招标文件条款、投标人的投标文件内容均为合同签订的基础。</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14.2中标人如未在规定时间内签订合同的，视为自动放弃中标资格，投标保证金（如有）将被没收，且应承担因违约造成的采购人的损失，并上报财政监管部门。</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14.3本招标文件未明确的其它约定事项或条款，待采购人与中标人签订合同时，由双方协商订立。</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15、其他要求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15.1投标人投标货物的制造标准、安装标准及技术规范等有关资料必须符合现行我国相应的有关标准、规范要求。</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15.2投标人认为有利于采购人的招标要求之外的优惠条款应单独列明。</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15.3本项目不允许中标人以任何名义和理由在中标后将中标项目的主体、非主体、关键性工作、非关键性工作进行转包、分包，在履行合同过程中如有发现，采购人有权单方终止合同，并没收履约保证金。视为中标人违约，中标人违约对采购人造成的损失的，需另行支付相应的赔偿，并追究相关法律责任。</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16、补充内容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16.1本项目支持供应商办理政府采购合同融资（即政采贷），具体相关政策详见《关于促进中小企业政府采购合同融资健康开展的通知》（闽财购函〔2019〕16 号）等政策，投标人中 标 后如需融资，可通过“福建省政府采购合同融资信息服务平台”（网址：http://120.35.30.176/zcdproject/home）办理“政采贷”。</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16.2附件1</w:t>
      </w:r>
    </w:p>
    <w:p>
      <w:pPr>
        <w:pStyle w:val="4"/>
        <w:ind w:firstLine="312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采购文件远程开标事项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一、本项目采用“远程开标”，投标人可到开标现场，也可不到开标现场，由投标人自行决定。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二、投标人不到开标现场的，请在福建省政府采购网厦门分网“服务专区/下载专区/资料下载”中，下载《远程开标操作手册》，在开标时自行登录采购系统，线上观看开标过程，并按要求在开标时段对投标文件进行远程解密、远程签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三、投标人应确保自身设施、设备、网络状况良好，提请了解熟悉远程开标流程，因投标人自身原因造成无法正常观看开标过程、远程解密或签章的，后果由投标人自行承担。</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四、在规定的时间内正确提交电子投标文件的投标人在开标时将由系统判断签到情况，具体信息以福建省政府采购网上公开信息系统所示为准。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五、投标人应在远程解密开启后在规定时间内使用CA数字证书（应与投标文件加密时所用CA证书一致）进行投标文件的解密操作，逾期未解密的视为放弃投标。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六、唱标结束后，投标人可对开标结果进行签章，并在远程签章开放后规定时间内完成，逾期未签章的视同认可开标结果。</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七、开、评标期间，投标人代表应保证采购系统中预留的联系方式畅通，以便随时接收并答复评标委员会发起的澄清等事项。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八、在操作过程中如有疑问请咨询技术人员（400-1612-666、0592-2858142）或采购代 理机构工作人员。</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16.3附件2：</w:t>
      </w:r>
    </w:p>
    <w:p>
      <w:pPr>
        <w:pStyle w:val="4"/>
        <w:ind w:firstLine="645"/>
        <w:jc w:val="center"/>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关于串标情形及后果的告知函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致各投标人：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 xml:space="preserve">  根据《厦门市财政局关于加强涉嫌串通投标情形处理的通知》要求，现将有关恶意串通、视为串通情形及供应商需承担的后果列明如下，请各供应商仔细阅读，如在参与本项目采购活动中存在串通投标情形，将依法承担相应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一、恶意串通情形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《政府采购法实施条例》第七十四条：有下列情形之一的，属于恶意串通：</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（一）供应商直接或者间接从采购人或者采购代理机构处获得其他供应商的相关情况并修改其投标文件或者响应文件；</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（二）供应商按照采购人或者采购代理机构的授意撤换、修改投标文件或者响应文件；</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（三）供应商之间协商报价、技术方案等投标文件或者响应文件的实质性内容；</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（四）属于同一集团、协会、商会等组织成员的供应商按照该组织要求协同参加政府采购活动；</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（五）供应商之间事先约定由某一特定供应商中标、成交；</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（六）供应商之间商定部分供应商放弃参加政府采购活动或者放弃中标、成交；</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（七）供应商与采购人或者采购代理机构之间、供应商相互之间，为谋求特定供应商中标、成交或者排斥其他供应商的其他串通行为。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二、视为串通情形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《政府采购货物和服务招标投标管理办法》（财政部令第87号）第三十七条：有下列情形之一的，视为投标人串通投标，其投标无效：</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（一）不同投标人的投标文件由同一单位或者个人编制；</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（二）不同投标人委托同一单位或者个人办理投标事宜；</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（三）不同投标人的投标文件载明的项目管理成员或者联系人员为同一人；</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（四）不同投标人的投标文件异常一致或者投标报价呈规律性差异；</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（五）不同投标人的投标文件相互混装；</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（六）不同投标人的投标保证金从同一单位或者个人的账户转出。</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《福建省财政厅关于电子化政府采购项目中视为串标情形认定与处理的指导意见》（闽财购〔2018〕30号）</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（一）电子化招标项目视为串通情形的认定</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1、保证金验核阶段 不同投标人的投标保证金转出账户的银行账户名 称相同的，属于《政府采购货物和服务招标投标管理办法》（财政部令第87号）第三十七条第（六）项“不同投标人的投标保证金从同一单位或者个人的账户转出”的情形。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2、电子响应文件解密阶段 电子响应文件的个性特征与本采购项目的其他响应人存在雷同的，按照以下方式进行认定：</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投标人上传电子投标文件被福建省政府采购网上公开信息系统投标客户端所赋予的项目内部识别码与本招标项目的其他投标人相同的，属于《政府采购货物和服务招标投标管理办法》（财政部令第87号）第三十七条第（一）项“不同投标人的投标文件由同一单位或者个人编制”的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系统记录的编制电子投标文件使用的计算机或上传电子投标文件使用的计算机网卡MAC地址与本招标项目的其他投标人一致的，属于《政府采购货物和服务招标投标管理办法》（财政部令第87号）第三十七条第（二）项“不同投标人委托同一单位或者个人办理投标事宜”的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3）投标人上传的电子投标文件若出现使用本项目其他投标人的数字证书加密的或加盖本项目的其他投标人的电子印章的，属于《政府采购货物和服务招标投标管理办法》（财政部令第87号）第三十七条第（五）项“不同投标人的投标文件相互混装”的情形。</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（二）电子化非招标项目视为串通情形的认定</w:t>
      </w:r>
    </w:p>
    <w:p>
      <w:pPr>
        <w:pStyle w:val="4"/>
        <w:ind w:firstLine="315"/>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电子化非招标项目（包括竞争性谈判、竞争性磋商、询价）中出现本意见第一点所列情形的，属于《中华人民共和国政府采购法实施条例》第七十四条第（七）项“供 应商与采购人或者采购代 理机构之间、供 应商相互之间，为谋求特定供 应商中标、成交或者排斥其他供 应商的其他串通行为”。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三、供应商需承担的后果</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1、《政府采购法》第七十七条：供 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（三）与采购人、其他供 应商或者采购代 理机构恶意串通的； 供 应商有前款第（一）至（五）项情形之一的，中标、成交无效。</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2、《福建省财政厅关于电子化政府采购项目中视为串标情形认定与处理的指导意见》（闽财购〔2018〕30号） 在开标过程中，发现投标（响应）人有上述情形的，采购人、采购代 理机构应当根据采购文件认定串通行为，认定其投标（响应）无效，没收其保证金，并书面报告本级财政部门；在评审过程中发现投标（响应）人有上述情形的，资格审查小组或评标委员会（谈判小组、磋商小组、询价小组）应当根据采购文件认定串通行为，认定其投标（响应）无效，没收其保证金，并书面报告本级财政部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 xml:space="preserve"> </w:t>
      </w:r>
      <w:r>
        <w:rPr>
          <w:rFonts w:ascii="仿宋_GB2312" w:hAnsi="仿宋_GB2312" w:eastAsia="仿宋_GB2312" w:cs="仿宋_GB2312"/>
          <w:b/>
          <w:color w:val="000000" w:themeColor="text1"/>
          <w:sz w:val="24"/>
          <w14:textFill>
            <w14:solidFill>
              <w14:schemeClr w14:val="tx1"/>
            </w14:solidFill>
          </w14:textFill>
        </w:rPr>
        <w:t>16.4</w:t>
      </w:r>
      <w:r>
        <w:rPr>
          <w:rFonts w:ascii="仿宋_GB2312" w:hAnsi="仿宋_GB2312" w:eastAsia="仿宋_GB2312" w:cs="仿宋_GB2312"/>
          <w:color w:val="000000" w:themeColor="text1"/>
          <w:sz w:val="24"/>
          <w14:textFill>
            <w14:solidFill>
              <w14:schemeClr w14:val="tx1"/>
            </w14:solidFill>
          </w14:textFill>
        </w:rPr>
        <w:t>投标人应在投标文件中提供《带“★”号条款逐条响应情况表》、《技术和服务要求响应表》及《商务条件响应表》（或《点对点应答书》，格式可参考第七章），未按要求提供《带“★”号条款逐条响应情况表》、《技术和服务要求响应表》及《商务条件响应表》（或《点对点应答书》，格式可参考第七章）的，评标委员会可能对投标人做出不利的评审。</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b/>
          <w:color w:val="000000" w:themeColor="text1"/>
          <w:sz w:val="30"/>
          <w14:textFill>
            <w14:solidFill>
              <w14:schemeClr w14:val="tx1"/>
            </w14:solidFill>
          </w14:textFill>
        </w:rPr>
        <w:t>带“★”号条款逐条响应情况表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3"/>
        <w:gridCol w:w="2784"/>
        <w:gridCol w:w="2859"/>
        <w:gridCol w:w="16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条款号</w:t>
            </w:r>
          </w:p>
        </w:tc>
        <w:tc>
          <w:tcPr>
            <w:tcW w:w="2784"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招标文件中带“★”号的条款汇总</w:t>
            </w:r>
          </w:p>
        </w:tc>
        <w:tc>
          <w:tcPr>
            <w:tcW w:w="2859"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投标响应内容</w:t>
            </w:r>
          </w:p>
        </w:tc>
        <w:tc>
          <w:tcPr>
            <w:tcW w:w="1640"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对应投标文件页码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78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85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64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78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85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64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78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85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64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78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85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64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3"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78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85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64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p>
        </w:tc>
      </w:tr>
    </w:tbl>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投标人：（全称并加盖单位公章）</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投标人代表签字：</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sz w:val="24"/>
          <w14:textFill>
            <w14:solidFill>
              <w14:schemeClr w14:val="tx1"/>
            </w14:solidFill>
          </w14:textFill>
        </w:rPr>
        <w:t>日期：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p>
    <w:p>
      <w:pPr>
        <w:pStyle w:val="4"/>
        <w:ind w:firstLine="482"/>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u w:val="single"/>
          <w:shd w:val="clear" w:fill="FFFFFF"/>
          <w14:textFill>
            <w14:solidFill>
              <w14:schemeClr w14:val="tx1"/>
            </w14:solidFill>
          </w14:textFill>
        </w:rPr>
        <w:t>为避免遗漏，请投标人在投标文件技术商务部分提供《评标条款响应对照表》，并在目录中体现该格式标题</w:t>
      </w:r>
      <w:r>
        <w:rPr>
          <w:rFonts w:ascii="仿宋_GB2312" w:hAnsi="仿宋_GB2312" w:eastAsia="仿宋_GB2312" w:cs="仿宋_GB2312"/>
          <w:color w:val="000000" w:themeColor="text1"/>
          <w:sz w:val="24"/>
          <w:shd w:val="clear" w:fill="FFFFFF"/>
          <w14:textFill>
            <w14:solidFill>
              <w14:schemeClr w14:val="tx1"/>
            </w14:solidFill>
          </w14:textFill>
        </w:rPr>
        <w:t>。</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b/>
          <w:color w:val="000000" w:themeColor="text1"/>
          <w:sz w:val="30"/>
          <w14:textFill>
            <w14:solidFill>
              <w14:schemeClr w14:val="tx1"/>
            </w14:solidFill>
          </w14:textFill>
        </w:rPr>
        <w:t>评标条款响应对照表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59"/>
        <w:gridCol w:w="2468"/>
        <w:gridCol w:w="3265"/>
        <w:gridCol w:w="1414"/>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条款号</w:t>
            </w:r>
          </w:p>
        </w:tc>
        <w:tc>
          <w:tcPr>
            <w:tcW w:w="246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招标文件评标条款</w:t>
            </w:r>
          </w:p>
        </w:tc>
        <w:tc>
          <w:tcPr>
            <w:tcW w:w="326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投标响应内容</w:t>
            </w:r>
          </w:p>
        </w:tc>
        <w:tc>
          <w:tcPr>
            <w:tcW w:w="1414"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对应投标文件页码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46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326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41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46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326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41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46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326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41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46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326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41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59"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246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326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c>
          <w:tcPr>
            <w:tcW w:w="141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tc>
      </w:tr>
    </w:tbl>
    <w:p>
      <w:pPr>
        <w:pStyle w:val="4"/>
        <w:ind w:firstLine="4201"/>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投标人：（全称并加盖单位公章）</w:t>
      </w:r>
    </w:p>
    <w:p>
      <w:pPr>
        <w:pStyle w:val="4"/>
        <w:ind w:firstLine="4201"/>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投标人代表签字：</w:t>
      </w:r>
    </w:p>
    <w:p>
      <w:pPr>
        <w:pStyle w:val="4"/>
        <w:ind w:firstLine="4201"/>
        <w:jc w:val="left"/>
        <w:rPr>
          <w:color w:val="000000" w:themeColor="text1"/>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日期：  年   月   日</w:t>
      </w:r>
    </w:p>
    <w:p>
      <w:pPr>
        <w:pStyle w:val="4"/>
        <w:ind w:firstLine="482"/>
        <w:jc w:val="both"/>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17、补充格式附件</w:t>
      </w:r>
    </w:p>
    <w:p>
      <w:pPr>
        <w:pStyle w:val="4"/>
        <w:ind w:firstLine="482"/>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本补充格式附件为招标文件组成部分，补充格式内容与招标文件其他地方内容不一致的，以本补充格式内容为准。请投标人仔细阅读。</w:t>
      </w:r>
    </w:p>
    <w:p>
      <w:pPr>
        <w:pStyle w:val="4"/>
        <w:ind w:firstLine="482"/>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17.1优先类节能产品、环境标志产品统计表格式</w:t>
      </w:r>
    </w:p>
    <w:p>
      <w:pPr>
        <w:pStyle w:val="4"/>
        <w:ind w:firstLine="482"/>
        <w:jc w:val="left"/>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三-1-①优先类节能产品、环境标志产品统计表（价格扣除适用，若有）</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482"/>
              <w:jc w:val="center"/>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优先类节能产品、环境标志产品统计表</w:t>
            </w:r>
            <w:r>
              <w:rPr>
                <w:rFonts w:ascii="仿宋_GB2312" w:hAnsi="仿宋_GB2312" w:eastAsia="仿宋_GB2312" w:cs="仿宋_GB2312"/>
                <w:color w:val="000000" w:themeColor="text1"/>
                <w:sz w:val="24"/>
                <w14:textFill>
                  <w14:solidFill>
                    <w14:schemeClr w14:val="tx1"/>
                  </w14:solidFill>
                </w14:textFill>
              </w:rPr>
              <w:t>（价格扣除适用，若有）</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 xml:space="preserve"> 招标编号：</w:t>
            </w:r>
            <w:r>
              <w:rPr>
                <w:rFonts w:ascii="仿宋_GB2312" w:hAnsi="仿宋_GB2312" w:eastAsia="仿宋_GB2312" w:cs="仿宋_GB2312"/>
                <w:color w:val="000000" w:themeColor="text1"/>
                <w:sz w:val="19"/>
                <w:u w:val="single"/>
                <w14:textFill>
                  <w14:solidFill>
                    <w14:schemeClr w14:val="tx1"/>
                  </w14:solidFill>
                </w14:textFill>
              </w:rPr>
              <w:t xml:space="preserve">                   </w:t>
            </w:r>
          </w:p>
          <w:p>
            <w:pPr>
              <w:pStyle w:val="4"/>
              <w:ind w:firstLine="380"/>
              <w:jc w:val="righ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货币及单位：人民币元</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97"/>
              <w:gridCol w:w="1098"/>
              <w:gridCol w:w="1504"/>
              <w:gridCol w:w="1098"/>
              <w:gridCol w:w="1098"/>
              <w:gridCol w:w="1098"/>
              <w:gridCol w:w="1098"/>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92" w:type="dxa"/>
                  <w:gridSpan w:val="7"/>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center"/>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本采购包内属于节能、环境标志产品的情况</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采购包</w:t>
                  </w:r>
                </w:p>
              </w:tc>
              <w:tc>
                <w:tcPr>
                  <w:tcW w:w="109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品目号</w:t>
                  </w:r>
                </w:p>
              </w:tc>
              <w:tc>
                <w:tcPr>
                  <w:tcW w:w="150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货物名称</w:t>
                  </w:r>
                </w:p>
              </w:tc>
              <w:tc>
                <w:tcPr>
                  <w:tcW w:w="109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单价</w:t>
                  </w:r>
                </w:p>
              </w:tc>
              <w:tc>
                <w:tcPr>
                  <w:tcW w:w="109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数量</w:t>
                  </w:r>
                </w:p>
              </w:tc>
              <w:tc>
                <w:tcPr>
                  <w:tcW w:w="109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总价</w:t>
                  </w:r>
                </w:p>
              </w:tc>
              <w:tc>
                <w:tcPr>
                  <w:tcW w:w="109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认证种类</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w:t>
                  </w: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*-1</w:t>
                  </w:r>
                </w:p>
              </w:tc>
              <w:tc>
                <w:tcPr>
                  <w:tcW w:w="150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cente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8" w:type="dxa"/>
                  <w:vMerge w:val="continue"/>
                  <w:tcBorders>
                    <w:top w:val="nil"/>
                    <w:left w:val="single" w:color="000000" w:sz="4" w:space="0"/>
                    <w:bottom w:val="single" w:color="000000" w:sz="4" w:space="0"/>
                    <w:right w:val="single" w:color="000000" w:sz="4" w:space="0"/>
                  </w:tcBorders>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w:t>
                  </w:r>
                </w:p>
              </w:tc>
              <w:tc>
                <w:tcPr>
                  <w:tcW w:w="150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cente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c>
                <w:tcPr>
                  <w:tcW w:w="1098" w:type="dxa"/>
                  <w:tcBorders>
                    <w:top w:val="nil"/>
                    <w:left w:val="nil"/>
                    <w:bottom w:val="single" w:color="000000" w:sz="4" w:space="0"/>
                    <w:right w:val="single" w:color="000000" w:sz="4" w:space="0"/>
                  </w:tcBorders>
                  <w:tcMar>
                    <w:top w:w="0" w:type="dxa"/>
                    <w:left w:w="105" w:type="dxa"/>
                    <w:bottom w:w="0" w:type="dxa"/>
                    <w:right w:w="105" w:type="dxa"/>
                  </w:tcMar>
                  <w:vAlign w:val="top"/>
                </w:tcPr>
                <w:p>
                  <w:pPr>
                    <w:rPr>
                      <w:color w:val="000000" w:themeColor="text1"/>
                      <w14:textFill>
                        <w14:solidFill>
                          <w14:schemeClr w14:val="tx1"/>
                        </w14:solidFill>
                      </w14:textFill>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备注</w:t>
                  </w:r>
                </w:p>
              </w:tc>
              <w:tc>
                <w:tcPr>
                  <w:tcW w:w="6994" w:type="dxa"/>
                  <w:gridSpan w:val="6"/>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a.采购包内属于节能、环境标志产品的报价总金额：</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b.采购包投标总价（报价总金额）：</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c.“采购包内属于节能、环境标志产品的报价总金额”占“采购包投标总价（报价总金额）”的比例（以%列示）：</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w:t>
                  </w:r>
                </w:p>
              </w:tc>
            </w:tr>
          </w:tbl>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注意：</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1、对节能、环境标志产品计算价格扣除时，只依据投标文件“优先类节能产品、环境标志产品统计表”及投标人提供的相关产品的节能（节水）产品、环境标志产品有效认证证书。</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2、本表以采购包为单位，不同采购包请分别填写；同一采购包请按照其品目号顺序分别填写。</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3、具体统计、计算：</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3.1若节能、环境标志产品仅是构成投标产品的部件、组件或零件，则该投标产品不享受鼓励优惠政策。同一品目中各认证证书不重复计算价格扣除。属于政府强制采购的节能产品不享受价格扣除。</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3.2计算结果若除不尽，可四舍五入保留到小数点后两位。</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3.3投标人应按照招标文件要求认真统计、计算，投标人须确保“优先类节能产品、环境标志产品统计表”中所列产品价格应与分项报价明细表中产品价格一致，否则评标委员会将不予认定。</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3.4若无节能、环境标志产品，不填写本表，否则，视为提供虚假材料。</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4、“投标标的”为货物的：“规格”项下应填写货物制造厂商赋予的品牌（属于节能、环保清单产品的货物，填写的品牌名称应与清单载明的品牌名称保持一致）及具体型号。</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投标人：</w:t>
            </w:r>
            <w:r>
              <w:rPr>
                <w:rFonts w:ascii="仿宋_GB2312" w:hAnsi="仿宋_GB2312" w:eastAsia="仿宋_GB2312" w:cs="仿宋_GB2312"/>
                <w:color w:val="000000" w:themeColor="text1"/>
                <w:sz w:val="21"/>
                <w:u w:val="single"/>
                <w14:textFill>
                  <w14:solidFill>
                    <w14:schemeClr w14:val="tx1"/>
                  </w14:solidFill>
                </w14:textFill>
              </w:rPr>
              <w:t>（全称并加盖单位公章）</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投标人代表签字：</w:t>
            </w:r>
            <w:r>
              <w:rPr>
                <w:rFonts w:ascii="仿宋_GB2312" w:hAnsi="仿宋_GB2312" w:eastAsia="仿宋_GB2312" w:cs="仿宋_GB2312"/>
                <w:color w:val="000000" w:themeColor="text1"/>
                <w:sz w:val="19"/>
                <w:u w:val="single"/>
                <w14:textFill>
                  <w14:solidFill>
                    <w14:schemeClr w14:val="tx1"/>
                  </w14:solidFill>
                </w14:textFill>
              </w:rPr>
              <w:t xml:space="preserve">                   </w:t>
            </w:r>
          </w:p>
          <w:p>
            <w:pPr>
              <w:pStyle w:val="4"/>
              <w:ind w:firstLine="380"/>
              <w:jc w:val="both"/>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日期：</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年</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月</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日</w:t>
            </w:r>
          </w:p>
          <w:p>
            <w:pPr>
              <w:pStyle w:val="4"/>
              <w:ind w:firstLine="380"/>
              <w:jc w:val="both"/>
              <w:rPr>
                <w:color w:val="000000" w:themeColor="text1"/>
                <w14:textFill>
                  <w14:solidFill>
                    <w14:schemeClr w14:val="tx1"/>
                  </w14:solidFill>
                </w14:textFill>
              </w:rPr>
            </w:pP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b/>
          <w:color w:val="000000" w:themeColor="text1"/>
          <w:sz w:val="24"/>
          <w14:textFill>
            <w14:solidFill>
              <w14:schemeClr w14:val="tx1"/>
            </w14:solidFill>
          </w14:textFill>
        </w:rPr>
        <w:t>17.2关于符合本国产品标准的声明函格式（价格扣除适用，若有）</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480"/>
              <w:jc w:val="center"/>
              <w:rPr>
                <w:color w:val="000000" w:themeColor="text1"/>
                <w14:textFill>
                  <w14:solidFill>
                    <w14:schemeClr w14:val="tx1"/>
                  </w14:solidFill>
                </w14:textFill>
              </w:rPr>
            </w:pPr>
            <w:r>
              <w:rPr>
                <w:rFonts w:ascii="仿宋_GB2312" w:hAnsi="仿宋_GB2312" w:eastAsia="仿宋_GB2312" w:cs="仿宋_GB2312"/>
                <w:b/>
                <w:color w:val="000000" w:themeColor="text1"/>
                <w:sz w:val="21"/>
                <w14:textFill>
                  <w14:solidFill>
                    <w14:schemeClr w14:val="tx1"/>
                  </w14:solidFill>
                </w14:textFill>
              </w:rPr>
              <w:t>关于符合本国产品标准的声明函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1.</w:t>
            </w:r>
            <w:r>
              <w:rPr>
                <w:rFonts w:ascii="仿宋_GB2312" w:hAnsi="仿宋_GB2312" w:eastAsia="仿宋_GB2312" w:cs="仿宋_GB2312"/>
                <w:color w:val="000000" w:themeColor="text1"/>
                <w:sz w:val="21"/>
                <w:u w:val="single"/>
                <w14:textFill>
                  <w14:solidFill>
                    <w14:schemeClr w14:val="tx1"/>
                  </w14:solidFill>
                </w14:textFill>
              </w:rPr>
              <w:t>（产品名称1）</w:t>
            </w:r>
            <w:r>
              <w:rPr>
                <w:rFonts w:ascii="仿宋_GB2312" w:hAnsi="仿宋_GB2312" w:eastAsia="仿宋_GB2312" w:cs="仿宋_GB2312"/>
                <w:color w:val="000000" w:themeColor="text1"/>
                <w:sz w:val="21"/>
                <w14:textFill>
                  <w14:solidFill>
                    <w14:schemeClr w14:val="tx1"/>
                  </w14:solidFill>
                </w14:textFill>
              </w:rPr>
              <w:t>①，生产厂为</w:t>
            </w:r>
            <w:r>
              <w:rPr>
                <w:rFonts w:ascii="仿宋_GB2312" w:hAnsi="仿宋_GB2312" w:eastAsia="仿宋_GB2312" w:cs="仿宋_GB2312"/>
                <w:color w:val="000000" w:themeColor="text1"/>
                <w:sz w:val="21"/>
                <w:u w:val="single"/>
                <w14:textFill>
                  <w14:solidFill>
                    <w14:schemeClr w14:val="tx1"/>
                  </w14:solidFill>
                </w14:textFill>
              </w:rPr>
              <w:t>（厂名）</w:t>
            </w:r>
            <w:r>
              <w:rPr>
                <w:rFonts w:ascii="仿宋_GB2312" w:hAnsi="仿宋_GB2312" w:eastAsia="仿宋_GB2312" w:cs="仿宋_GB2312"/>
                <w:color w:val="000000" w:themeColor="text1"/>
                <w:sz w:val="21"/>
                <w14:textFill>
                  <w14:solidFill>
                    <w14:schemeClr w14:val="tx1"/>
                  </w14:solidFill>
                </w14:textFill>
              </w:rPr>
              <w:t>②，厂址为</w:t>
            </w:r>
            <w:r>
              <w:rPr>
                <w:rFonts w:ascii="仿宋_GB2312" w:hAnsi="仿宋_GB2312" w:eastAsia="仿宋_GB2312" w:cs="仿宋_GB2312"/>
                <w:color w:val="000000" w:themeColor="text1"/>
                <w:sz w:val="21"/>
                <w:u w:val="single"/>
                <w14:textFill>
                  <w14:solidFill>
                    <w14:schemeClr w14:val="tx1"/>
                  </w14:solidFill>
                </w14:textFill>
              </w:rPr>
              <w:t>（生产厂址）</w:t>
            </w:r>
            <w:r>
              <w:rPr>
                <w:rFonts w:ascii="仿宋_GB2312" w:hAnsi="仿宋_GB2312" w:eastAsia="仿宋_GB2312" w:cs="仿宋_GB2312"/>
                <w:color w:val="000000" w:themeColor="text1"/>
                <w:sz w:val="21"/>
                <w14:textFill>
                  <w14:solidFill>
                    <w14:schemeClr w14:val="tx1"/>
                  </w14:solidFill>
                </w14:textFill>
              </w:rPr>
              <w:t>。</w:t>
            </w:r>
            <w:r>
              <w:rPr>
                <w:rFonts w:ascii="仿宋_GB2312" w:hAnsi="仿宋_GB2312" w:eastAsia="仿宋_GB2312" w:cs="仿宋_GB2312"/>
                <w:color w:val="000000" w:themeColor="text1"/>
                <w:sz w:val="21"/>
                <w:u w:val="single"/>
                <w14:textFill>
                  <w14:solidFill>
                    <w14:schemeClr w14:val="tx1"/>
                  </w14:solidFill>
                </w14:textFill>
              </w:rPr>
              <w:t>（产品名称1）</w:t>
            </w:r>
            <w:r>
              <w:rPr>
                <w:rFonts w:ascii="仿宋_GB2312" w:hAnsi="仿宋_GB2312" w:eastAsia="仿宋_GB2312" w:cs="仿宋_GB2312"/>
                <w:color w:val="000000" w:themeColor="text1"/>
                <w:sz w:val="21"/>
                <w14:textFill>
                  <w14:solidFill>
                    <w14:schemeClr w14:val="tx1"/>
                  </w14:solidFill>
                </w14:textFill>
              </w:rPr>
              <w:t>的中国境内生产的组件成本占比≥</w:t>
            </w:r>
            <w:r>
              <w:rPr>
                <w:rFonts w:ascii="仿宋_GB2312" w:hAnsi="仿宋_GB2312" w:eastAsia="仿宋_GB2312" w:cs="仿宋_GB2312"/>
                <w:color w:val="000000" w:themeColor="text1"/>
                <w:sz w:val="21"/>
                <w:u w:val="single"/>
                <w14:textFill>
                  <w14:solidFill>
                    <w14:schemeClr w14:val="tx1"/>
                  </w14:solidFill>
                </w14:textFill>
              </w:rPr>
              <w:t>（规定比例）</w:t>
            </w:r>
            <w:r>
              <w:rPr>
                <w:rFonts w:ascii="仿宋_GB2312" w:hAnsi="仿宋_GB2312" w:eastAsia="仿宋_GB2312" w:cs="仿宋_GB2312"/>
                <w:color w:val="000000" w:themeColor="text1"/>
                <w:sz w:val="21"/>
                <w14:textFill>
                  <w14:solidFill>
                    <w14:schemeClr w14:val="tx1"/>
                  </w14:solidFill>
                </w14:textFill>
              </w:rPr>
              <w:t>③。</w:t>
            </w:r>
            <w:r>
              <w:rPr>
                <w:rFonts w:ascii="仿宋_GB2312" w:hAnsi="仿宋_GB2312" w:eastAsia="仿宋_GB2312" w:cs="仿宋_GB2312"/>
                <w:color w:val="000000" w:themeColor="text1"/>
                <w:sz w:val="21"/>
                <w:u w:val="single"/>
                <w14:textFill>
                  <w14:solidFill>
                    <w14:schemeClr w14:val="tx1"/>
                  </w14:solidFill>
                </w14:textFill>
              </w:rPr>
              <w:t>（产品名称1）</w:t>
            </w:r>
            <w:r>
              <w:rPr>
                <w:rFonts w:ascii="仿宋_GB2312" w:hAnsi="仿宋_GB2312" w:eastAsia="仿宋_GB2312" w:cs="仿宋_GB2312"/>
                <w:color w:val="000000" w:themeColor="text1"/>
                <w:sz w:val="21"/>
                <w14:textFill>
                  <w14:solidFill>
                    <w14:schemeClr w14:val="tx1"/>
                  </w14:solidFill>
                </w14:textFill>
              </w:rPr>
              <w:t>的</w:t>
            </w:r>
            <w:r>
              <w:rPr>
                <w:rFonts w:ascii="仿宋_GB2312" w:hAnsi="仿宋_GB2312" w:eastAsia="仿宋_GB2312" w:cs="仿宋_GB2312"/>
                <w:color w:val="000000" w:themeColor="text1"/>
                <w:sz w:val="21"/>
                <w:u w:val="single"/>
                <w14:textFill>
                  <w14:solidFill>
                    <w14:schemeClr w14:val="tx1"/>
                  </w14:solidFill>
                </w14:textFill>
              </w:rPr>
              <w:t>（关键组件）</w:t>
            </w:r>
            <w:r>
              <w:rPr>
                <w:rFonts w:ascii="仿宋_GB2312" w:hAnsi="仿宋_GB2312" w:eastAsia="仿宋_GB2312" w:cs="仿宋_GB2312"/>
                <w:color w:val="000000" w:themeColor="text1"/>
                <w:sz w:val="21"/>
                <w14:textFill>
                  <w14:solidFill>
                    <w14:schemeClr w14:val="tx1"/>
                  </w14:solidFill>
                </w14:textFill>
              </w:rPr>
              <w:t>④在中国境内生产。</w:t>
            </w:r>
            <w:r>
              <w:rPr>
                <w:rFonts w:ascii="仿宋_GB2312" w:hAnsi="仿宋_GB2312" w:eastAsia="仿宋_GB2312" w:cs="仿宋_GB2312"/>
                <w:color w:val="000000" w:themeColor="text1"/>
                <w:sz w:val="21"/>
                <w:u w:val="single"/>
                <w14:textFill>
                  <w14:solidFill>
                    <w14:schemeClr w14:val="tx1"/>
                  </w14:solidFill>
                </w14:textFill>
              </w:rPr>
              <w:t>（产品名称1）</w:t>
            </w:r>
            <w:r>
              <w:rPr>
                <w:rFonts w:ascii="仿宋_GB2312" w:hAnsi="仿宋_GB2312" w:eastAsia="仿宋_GB2312" w:cs="仿宋_GB2312"/>
                <w:color w:val="000000" w:themeColor="text1"/>
                <w:sz w:val="21"/>
                <w14:textFill>
                  <w14:solidFill>
                    <w14:schemeClr w14:val="tx1"/>
                  </w14:solidFill>
                </w14:textFill>
              </w:rPr>
              <w:t>的</w:t>
            </w:r>
            <w:r>
              <w:rPr>
                <w:rFonts w:ascii="仿宋_GB2312" w:hAnsi="仿宋_GB2312" w:eastAsia="仿宋_GB2312" w:cs="仿宋_GB2312"/>
                <w:color w:val="000000" w:themeColor="text1"/>
                <w:sz w:val="21"/>
                <w:u w:val="single"/>
                <w14:textFill>
                  <w14:solidFill>
                    <w14:schemeClr w14:val="tx1"/>
                  </w14:solidFill>
                </w14:textFill>
              </w:rPr>
              <w:t>（关键工序）</w:t>
            </w:r>
            <w:r>
              <w:rPr>
                <w:rFonts w:ascii="仿宋_GB2312" w:hAnsi="仿宋_GB2312" w:eastAsia="仿宋_GB2312" w:cs="仿宋_GB2312"/>
                <w:color w:val="000000" w:themeColor="text1"/>
                <w:sz w:val="21"/>
                <w14:textFill>
                  <w14:solidFill>
                    <w14:schemeClr w14:val="tx1"/>
                  </w14:solidFill>
                </w14:textFill>
              </w:rPr>
              <w:t>⑤在中国境内完成。</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2.</w:t>
            </w:r>
            <w:r>
              <w:rPr>
                <w:rFonts w:ascii="仿宋_GB2312" w:hAnsi="仿宋_GB2312" w:eastAsia="仿宋_GB2312" w:cs="仿宋_GB2312"/>
                <w:color w:val="000000" w:themeColor="text1"/>
                <w:sz w:val="21"/>
                <w:u w:val="single"/>
                <w14:textFill>
                  <w14:solidFill>
                    <w14:schemeClr w14:val="tx1"/>
                  </w14:solidFill>
                </w14:textFill>
              </w:rPr>
              <w:t>（产品名称2）</w:t>
            </w:r>
            <w:r>
              <w:rPr>
                <w:rFonts w:ascii="仿宋_GB2312" w:hAnsi="仿宋_GB2312" w:eastAsia="仿宋_GB2312" w:cs="仿宋_GB2312"/>
                <w:color w:val="000000" w:themeColor="text1"/>
                <w:sz w:val="21"/>
                <w14:textFill>
                  <w14:solidFill>
                    <w14:schemeClr w14:val="tx1"/>
                  </w14:solidFill>
                </w14:textFill>
              </w:rPr>
              <w:t>，生产厂为</w:t>
            </w:r>
            <w:r>
              <w:rPr>
                <w:rFonts w:ascii="仿宋_GB2312" w:hAnsi="仿宋_GB2312" w:eastAsia="仿宋_GB2312" w:cs="仿宋_GB2312"/>
                <w:color w:val="000000" w:themeColor="text1"/>
                <w:sz w:val="21"/>
                <w:u w:val="single"/>
                <w14:textFill>
                  <w14:solidFill>
                    <w14:schemeClr w14:val="tx1"/>
                  </w14:solidFill>
                </w14:textFill>
              </w:rPr>
              <w:t>（厂名）</w:t>
            </w:r>
            <w:r>
              <w:rPr>
                <w:rFonts w:ascii="仿宋_GB2312" w:hAnsi="仿宋_GB2312" w:eastAsia="仿宋_GB2312" w:cs="仿宋_GB2312"/>
                <w:color w:val="000000" w:themeColor="text1"/>
                <w:sz w:val="21"/>
                <w14:textFill>
                  <w14:solidFill>
                    <w14:schemeClr w14:val="tx1"/>
                  </w14:solidFill>
                </w14:textFill>
              </w:rPr>
              <w:t>，厂址为</w:t>
            </w:r>
            <w:r>
              <w:rPr>
                <w:rFonts w:ascii="仿宋_GB2312" w:hAnsi="仿宋_GB2312" w:eastAsia="仿宋_GB2312" w:cs="仿宋_GB2312"/>
                <w:color w:val="000000" w:themeColor="text1"/>
                <w:sz w:val="21"/>
                <w:u w:val="single"/>
                <w14:textFill>
                  <w14:solidFill>
                    <w14:schemeClr w14:val="tx1"/>
                  </w14:solidFill>
                </w14:textFill>
              </w:rPr>
              <w:t>（生产厂址）</w:t>
            </w:r>
            <w:r>
              <w:rPr>
                <w:rFonts w:ascii="仿宋_GB2312" w:hAnsi="仿宋_GB2312" w:eastAsia="仿宋_GB2312" w:cs="仿宋_GB2312"/>
                <w:color w:val="000000" w:themeColor="text1"/>
                <w:sz w:val="21"/>
                <w14:textFill>
                  <w14:solidFill>
                    <w14:schemeClr w14:val="tx1"/>
                  </w14:solidFill>
                </w14:textFill>
              </w:rPr>
              <w:t>。</w:t>
            </w:r>
            <w:r>
              <w:rPr>
                <w:rFonts w:ascii="仿宋_GB2312" w:hAnsi="仿宋_GB2312" w:eastAsia="仿宋_GB2312" w:cs="仿宋_GB2312"/>
                <w:color w:val="000000" w:themeColor="text1"/>
                <w:sz w:val="21"/>
                <w:u w:val="single"/>
                <w14:textFill>
                  <w14:solidFill>
                    <w14:schemeClr w14:val="tx1"/>
                  </w14:solidFill>
                </w14:textFill>
              </w:rPr>
              <w:t>（产品名称2）</w:t>
            </w:r>
            <w:r>
              <w:rPr>
                <w:rFonts w:ascii="仿宋_GB2312" w:hAnsi="仿宋_GB2312" w:eastAsia="仿宋_GB2312" w:cs="仿宋_GB2312"/>
                <w:color w:val="000000" w:themeColor="text1"/>
                <w:sz w:val="21"/>
                <w14:textFill>
                  <w14:solidFill>
                    <w14:schemeClr w14:val="tx1"/>
                  </w14:solidFill>
                </w14:textFill>
              </w:rPr>
              <w:t>的中国境内生产的组件成本占比≥</w:t>
            </w:r>
            <w:r>
              <w:rPr>
                <w:rFonts w:ascii="仿宋_GB2312" w:hAnsi="仿宋_GB2312" w:eastAsia="仿宋_GB2312" w:cs="仿宋_GB2312"/>
                <w:color w:val="000000" w:themeColor="text1"/>
                <w:sz w:val="21"/>
                <w:u w:val="single"/>
                <w14:textFill>
                  <w14:solidFill>
                    <w14:schemeClr w14:val="tx1"/>
                  </w14:solidFill>
                </w14:textFill>
              </w:rPr>
              <w:t>（规定比例）</w:t>
            </w:r>
            <w:r>
              <w:rPr>
                <w:rFonts w:ascii="仿宋_GB2312" w:hAnsi="仿宋_GB2312" w:eastAsia="仿宋_GB2312" w:cs="仿宋_GB2312"/>
                <w:color w:val="000000" w:themeColor="text1"/>
                <w:sz w:val="21"/>
                <w14:textFill>
                  <w14:solidFill>
                    <w14:schemeClr w14:val="tx1"/>
                  </w14:solidFill>
                </w14:textFill>
              </w:rPr>
              <w:t>。</w:t>
            </w:r>
            <w:r>
              <w:rPr>
                <w:rFonts w:ascii="仿宋_GB2312" w:hAnsi="仿宋_GB2312" w:eastAsia="仿宋_GB2312" w:cs="仿宋_GB2312"/>
                <w:color w:val="000000" w:themeColor="text1"/>
                <w:sz w:val="21"/>
                <w:u w:val="single"/>
                <w14:textFill>
                  <w14:solidFill>
                    <w14:schemeClr w14:val="tx1"/>
                  </w14:solidFill>
                </w14:textFill>
              </w:rPr>
              <w:t>（产品名称2）</w:t>
            </w:r>
            <w:r>
              <w:rPr>
                <w:rFonts w:ascii="仿宋_GB2312" w:hAnsi="仿宋_GB2312" w:eastAsia="仿宋_GB2312" w:cs="仿宋_GB2312"/>
                <w:color w:val="000000" w:themeColor="text1"/>
                <w:sz w:val="21"/>
                <w14:textFill>
                  <w14:solidFill>
                    <w14:schemeClr w14:val="tx1"/>
                  </w14:solidFill>
                </w14:textFill>
              </w:rPr>
              <w:t>的</w:t>
            </w:r>
            <w:r>
              <w:rPr>
                <w:rFonts w:ascii="仿宋_GB2312" w:hAnsi="仿宋_GB2312" w:eastAsia="仿宋_GB2312" w:cs="仿宋_GB2312"/>
                <w:color w:val="000000" w:themeColor="text1"/>
                <w:sz w:val="21"/>
                <w:u w:val="single"/>
                <w14:textFill>
                  <w14:solidFill>
                    <w14:schemeClr w14:val="tx1"/>
                  </w14:solidFill>
                </w14:textFill>
              </w:rPr>
              <w:t>（关键组件）</w:t>
            </w:r>
            <w:r>
              <w:rPr>
                <w:rFonts w:ascii="仿宋_GB2312" w:hAnsi="仿宋_GB2312" w:eastAsia="仿宋_GB2312" w:cs="仿宋_GB2312"/>
                <w:color w:val="000000" w:themeColor="text1"/>
                <w:sz w:val="21"/>
                <w14:textFill>
                  <w14:solidFill>
                    <w14:schemeClr w14:val="tx1"/>
                  </w14:solidFill>
                </w14:textFill>
              </w:rPr>
              <w:t>在中国境内生产。</w:t>
            </w:r>
            <w:r>
              <w:rPr>
                <w:rFonts w:ascii="仿宋_GB2312" w:hAnsi="仿宋_GB2312" w:eastAsia="仿宋_GB2312" w:cs="仿宋_GB2312"/>
                <w:color w:val="000000" w:themeColor="text1"/>
                <w:sz w:val="21"/>
                <w:u w:val="single"/>
                <w14:textFill>
                  <w14:solidFill>
                    <w14:schemeClr w14:val="tx1"/>
                  </w14:solidFill>
                </w14:textFill>
              </w:rPr>
              <w:t>（产品名称2）</w:t>
            </w:r>
            <w:r>
              <w:rPr>
                <w:rFonts w:ascii="仿宋_GB2312" w:hAnsi="仿宋_GB2312" w:eastAsia="仿宋_GB2312" w:cs="仿宋_GB2312"/>
                <w:color w:val="000000" w:themeColor="text1"/>
                <w:sz w:val="21"/>
                <w14:textFill>
                  <w14:solidFill>
                    <w14:schemeClr w14:val="tx1"/>
                  </w14:solidFill>
                </w14:textFill>
              </w:rPr>
              <w:t>的</w:t>
            </w:r>
            <w:r>
              <w:rPr>
                <w:rFonts w:ascii="仿宋_GB2312" w:hAnsi="仿宋_GB2312" w:eastAsia="仿宋_GB2312" w:cs="仿宋_GB2312"/>
                <w:color w:val="000000" w:themeColor="text1"/>
                <w:sz w:val="21"/>
                <w:u w:val="single"/>
                <w14:textFill>
                  <w14:solidFill>
                    <w14:schemeClr w14:val="tx1"/>
                  </w14:solidFill>
                </w14:textFill>
              </w:rPr>
              <w:t>（关键工序）</w:t>
            </w:r>
            <w:r>
              <w:rPr>
                <w:rFonts w:ascii="仿宋_GB2312" w:hAnsi="仿宋_GB2312" w:eastAsia="仿宋_GB2312" w:cs="仿宋_GB2312"/>
                <w:color w:val="000000" w:themeColor="text1"/>
                <w:sz w:val="21"/>
                <w14:textFill>
                  <w14:solidFill>
                    <w14:schemeClr w14:val="tx1"/>
                  </w14:solidFill>
                </w14:textFill>
              </w:rPr>
              <w:t>在中国境内完成。</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本公司（单位）对上述声明内容的真实性负责。如有虚假，愿承担相应法律责任。</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p>
            <w:pPr>
              <w:pStyle w:val="4"/>
              <w:ind w:firstLine="456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公司（单位）名称（盖章）：</w:t>
            </w:r>
            <w:r>
              <w:rPr>
                <w:rFonts w:ascii="仿宋_GB2312" w:hAnsi="仿宋_GB2312" w:eastAsia="仿宋_GB2312" w:cs="仿宋_GB2312"/>
                <w:color w:val="000000" w:themeColor="text1"/>
                <w:sz w:val="19"/>
                <w:u w:val="single"/>
                <w14:textFill>
                  <w14:solidFill>
                    <w14:schemeClr w14:val="tx1"/>
                  </w14:solidFill>
                </w14:textFill>
              </w:rPr>
              <w:t xml:space="preserve">       </w:t>
            </w:r>
          </w:p>
          <w:p>
            <w:pPr>
              <w:pStyle w:val="4"/>
              <w:ind w:firstLine="552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日期：</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年</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月</w:t>
            </w:r>
            <w:r>
              <w:rPr>
                <w:rFonts w:ascii="仿宋_GB2312" w:hAnsi="仿宋_GB2312" w:eastAsia="仿宋_GB2312" w:cs="仿宋_GB2312"/>
                <w:color w:val="000000" w:themeColor="text1"/>
                <w:sz w:val="19"/>
                <w:u w:val="single"/>
                <w14:textFill>
                  <w14:solidFill>
                    <w14:schemeClr w14:val="tx1"/>
                  </w14:solidFill>
                </w14:textFill>
              </w:rPr>
              <w:t xml:space="preserve">  </w:t>
            </w:r>
            <w:r>
              <w:rPr>
                <w:rFonts w:ascii="仿宋_GB2312" w:hAnsi="仿宋_GB2312" w:eastAsia="仿宋_GB2312" w:cs="仿宋_GB2312"/>
                <w:color w:val="000000" w:themeColor="text1"/>
                <w:sz w:val="21"/>
                <w14:textFill>
                  <w14:solidFill>
                    <w14:schemeClr w14:val="tx1"/>
                  </w14:solidFill>
                </w14:textFill>
              </w:rPr>
              <w:t>日</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19"/>
                <w14:textFill>
                  <w14:solidFill>
                    <w14:schemeClr w14:val="tx1"/>
                  </w14:solidFill>
                </w14:textFill>
              </w:rPr>
              <w:t xml:space="preserve"> </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注：</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①产品如有型号，请在“产品名称”栏一并填写。</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②生产厂名与厂址应与生产厂营业执照载明的相关信息保持一致。</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③该产品的中国境内生产的组件成本占比相关要求实施前，“规定比例”栏可不填，下同。</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④该产品的关键组件要求实施前，“关键组件”栏可不填，下同。</w:t>
            </w:r>
          </w:p>
          <w:p>
            <w:pPr>
              <w:pStyle w:val="4"/>
              <w:ind w:firstLine="380"/>
              <w:jc w:val="left"/>
              <w:rPr>
                <w:color w:val="000000" w:themeColor="text1"/>
                <w14:textFill>
                  <w14:solidFill>
                    <w14:schemeClr w14:val="tx1"/>
                  </w14:solidFill>
                </w14:textFill>
              </w:rPr>
            </w:pPr>
            <w:r>
              <w:rPr>
                <w:rFonts w:ascii="仿宋_GB2312" w:hAnsi="仿宋_GB2312" w:eastAsia="仿宋_GB2312" w:cs="仿宋_GB2312"/>
                <w:color w:val="000000" w:themeColor="text1"/>
                <w:sz w:val="21"/>
                <w14:textFill>
                  <w14:solidFill>
                    <w14:schemeClr w14:val="tx1"/>
                  </w14:solidFill>
                </w14:textFill>
              </w:rPr>
              <w:t>⑤该产品的关键工序要求实施前，“关键工序”栏可不填，下同。</w:t>
            </w: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p>
    <w:p>
      <w:pPr>
        <w:pStyle w:val="4"/>
        <w:jc w:val="both"/>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四、其他事项</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1、除招标文件另有规定外，若出现有关法律、法规和规章有强制性规定但招标文件未列明的情形，则投标人应按照有关法律、法规和规章强制性规定执行。</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2、其他：</w:t>
      </w:r>
    </w:p>
    <w:p>
      <w:pPr>
        <w:pStyle w:val="4"/>
        <w:ind w:firstLine="480"/>
        <w:jc w:val="both"/>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采购包1至采购包4： ★1）本项目每个合同包均设有政府采购最高控制价，最高控制价最迟在投标截止15天前发布。投标人所报价格若超过最高控制价，否则其作无效投标处理。 ★2）特别说明（投标人必须在投标文件中做出承诺）：（1）投标总价仅作为合同签订的暂定价格，本项目所产生的一切费用需报送厦门市财政审核中心审核。（2）投标人需承诺最终结算以厦门市财政审核中心审定的结果为准并加盖公章，且投标人需承诺同意配合施工期、验收等相关工作。（3）合同费用拨付需在财政费用拨至采购人帐户后支付。 3）采购人在签订政府采购合同之前，应当会同采购代理机构通过“国家企业信用信息公示系统”等渠道查询中标（成交）供应商的信用记录（重点是行政处罚信息），发现供应商在近三年内可能存在重大违法记录的，应当核实确认，确实存在重大违法记录情形的，可向同级政府采购监管部门提请监督检查。</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第六章 政府采购合同</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参考文本</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 xml:space="preserve"> 政府采购货物买卖合同</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（试行）</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sz w:val="31"/>
          <w14:textFill>
            <w14:solidFill>
              <w14:schemeClr w14:val="tx1"/>
            </w14:solidFill>
          </w14:textFill>
        </w:rPr>
        <w:t>项目名称： 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sz w:val="31"/>
          <w14:textFill>
            <w14:solidFill>
              <w14:schemeClr w14:val="tx1"/>
            </w14:solidFill>
          </w14:textFill>
        </w:rPr>
        <w:t>合同编号： 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sz w:val="31"/>
          <w14:textFill>
            <w14:solidFill>
              <w14:schemeClr w14:val="tx1"/>
            </w14:solidFill>
          </w14:textFill>
        </w:rPr>
        <w:t>甲   方： 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sz w:val="31"/>
          <w14:textFill>
            <w14:solidFill>
              <w14:schemeClr w14:val="tx1"/>
            </w14:solidFill>
          </w14:textFill>
        </w:rPr>
        <w:t>乙   方：__________________________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sz w:val="31"/>
          <w14:textFill>
            <w14:solidFill>
              <w14:schemeClr w14:val="tx1"/>
            </w14:solidFill>
          </w14:textFill>
        </w:rPr>
        <w:t>签订时间：__________________________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使用说明</w:t>
      </w:r>
    </w:p>
    <w:p>
      <w:pPr>
        <w:pStyle w:val="4"/>
        <w:jc w:val="left"/>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1.本合同标准文本适用于购买现成货物的采购项目，不包括需要供应商定制开发、创新研发的货物采购项目。</w:t>
      </w:r>
    </w:p>
    <w:p>
      <w:pPr>
        <w:pStyle w:val="4"/>
        <w:jc w:val="left"/>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2.本合同标准文本为政府采购货物买卖合同编制提供参考，可以结合采购项目具体情况，对文本作必要的调整修订后使用。</w:t>
      </w:r>
    </w:p>
    <w:p>
      <w:pPr>
        <w:pStyle w:val="4"/>
        <w:jc w:val="left"/>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3.本合同标准文本各条款中，如涉及填写多家供应商、制造商，多种采购标的、分包主要内容等信息的，可根据采购项目具体情况添加信息项。</w:t>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第一节 政府采购合同协议书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甲方（全称）：___________________________（采购人、受采购人委托签订合同的单位或采购文件约定的合同甲方）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乙方1（全称）：___________________________（供应商）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乙方2（全称）：___________________________（联合体成员供应商或其他合同主体）（如有）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乙方3（全称）：___________________________（联合体成员供应商或其他合同主体）（如有）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1.项目信息</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(1)采购项目名称：___________________________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采购项目编号：____________________________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(2)采购计划编号：___________________________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(3)项目内容：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采购标的及数量（台/套/个/架/组等）：___________________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品牌： ___________________ 规格型号：___________________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采购标的的技术要求、商务要求具体见附件。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①涉及信息类产品，请填写该产品关键部件的品牌、型号：</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标的名称： 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关键部件： ___________________ 品牌：___________________ 型号： 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关键部件： ___________________ 品牌：___________________ 型号： 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关键部件： ___________________ 品牌：___________________ 型号： 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（注：关键部件是指财政部会同有关部门发布的政府采购需求标准规定的需要通过国家有关部门指定的测评机构开展的安全可靠测评的软硬件，如CPU芯片、操作系统、数据库等。）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②涉及车辆采购，请填写是否属于新能源汽车：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是，《政府采购品目分类目录》底级品目名称：__________  数量：__________  金额：__________</w:t>
      </w:r>
    </w:p>
    <w:p>
      <w:pPr>
        <w:pStyle w:val="4"/>
        <w:spacing w:line="300" w:lineRule="auto"/>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(4)政府采购组织形式：政府集中采购 部门集中采购 分散采购</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(5)政府采购方式：公开招标 邀请招标 竞争性谈判 竞争性磋商询价 单一来源 框架协议 其他：____________________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(6)中标（成交）采购标的制造商是否为中小企业：是否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本合同是否为专门面向中小企业的采购合同（中小企业预留合同）：是否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若本项目不专门面向中小企业采购，是否给予小微企业评审优惠：是否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中标（成交）采购标的制造商是否为残疾人福利性单位：是否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中标（成交）采购标的制造商是否为监狱企业：是否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(7)合同是否分包：是否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分包主要内容：________________________________________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分包供应商/制造商名称（如供应商和制造商不同，请分别填写）：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________________________________________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分包供应商/制造商类型（如果供应商和制造商不同，只填写制造商类型）：</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大型企业中型企业小微型企业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残疾人福利性单位监狱企业其他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(8)中标（成交）供应商是否为外商投资企业：是否</w:t>
      </w:r>
    </w:p>
    <w:p>
      <w:pPr>
        <w:pStyle w:val="4"/>
        <w:spacing w:line="300" w:lineRule="auto"/>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外商投资企业类型：全部由外国投资者投资部分由外国投资者投资</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（9）是否涉及进口产品：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是，《政府采购品目分类目录》底级品目名称：__________  金额：__________</w:t>
      </w:r>
    </w:p>
    <w:p>
      <w:pPr>
        <w:pStyle w:val="4"/>
        <w:spacing w:line="300" w:lineRule="auto"/>
        <w:ind w:firstLine="12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国别：__________  品牌：__________  规格型号__________</w:t>
      </w:r>
    </w:p>
    <w:p>
      <w:pPr>
        <w:pStyle w:val="4"/>
        <w:spacing w:line="300" w:lineRule="auto"/>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（10）是否涉及节能产品：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是，《节能产品政府采购品目清单》的底级品目名称：__________</w:t>
      </w:r>
    </w:p>
    <w:p>
      <w:pPr>
        <w:pStyle w:val="4"/>
        <w:spacing w:line="300" w:lineRule="auto"/>
        <w:ind w:firstLine="12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强制采购         优先采购</w:t>
      </w:r>
    </w:p>
    <w:p>
      <w:pPr>
        <w:pStyle w:val="4"/>
        <w:spacing w:line="300" w:lineRule="auto"/>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否</w:t>
      </w:r>
    </w:p>
    <w:p>
      <w:pPr>
        <w:pStyle w:val="4"/>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是否涉及环境标志产品：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是，《环境标志产品政府采购品目清单》的底级品目名称：__________</w:t>
      </w:r>
    </w:p>
    <w:p>
      <w:pPr>
        <w:pStyle w:val="4"/>
        <w:spacing w:line="300" w:lineRule="auto"/>
        <w:ind w:firstLine="12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强制采购         优先采购</w:t>
      </w:r>
    </w:p>
    <w:p>
      <w:pPr>
        <w:pStyle w:val="4"/>
        <w:spacing w:line="300" w:lineRule="auto"/>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否</w:t>
      </w:r>
    </w:p>
    <w:p>
      <w:pPr>
        <w:pStyle w:val="4"/>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是否涉及绿色产品：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是，绿色产品政府采购相关政策确定的底级品目名称：__________</w:t>
      </w:r>
    </w:p>
    <w:p>
      <w:pPr>
        <w:pStyle w:val="4"/>
        <w:spacing w:line="300" w:lineRule="auto"/>
        <w:ind w:firstLine="12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强制采购         优先采购</w:t>
      </w:r>
    </w:p>
    <w:p>
      <w:pPr>
        <w:pStyle w:val="4"/>
        <w:spacing w:line="300" w:lineRule="auto"/>
        <w:ind w:firstLine="84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(11)涉及商品包装和快递包装的，是否参考《商品包装政府采购需求标准（试行）》、《快递包装政府采购需求标准（试行）》明确产品及相关快递服务的具体包装要求：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         否        不涉及</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2.合同金额</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（1）合同金额小写：____________________</w:t>
      </w:r>
    </w:p>
    <w:p>
      <w:pPr>
        <w:pStyle w:val="4"/>
        <w:ind w:firstLine="19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大写：____________________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分包金额（如有）小写：____________________</w:t>
      </w:r>
    </w:p>
    <w:p>
      <w:pPr>
        <w:pStyle w:val="4"/>
        <w:ind w:firstLine="282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大写：____________________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（注：固定单价合同应填写单价和最高限价）</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（2）合同定价方式（采用组合定价方式的，可以勾选多项）：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固定总价固定单价成本补偿绩效激励其他__________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（3）付款方式（按项目实际勾选填写）：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全额付款：_______（应明确一次性支付合同款项的条件）_____________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分期付款：_______（应明确分期支付合同款项的各期比例和支付条件，各期支付条件应与分期履约验收情况挂钩）_____________，其中涉及预付款的：_______ （应明确预付款的支付比例和支付条件）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成本补偿：_______（应明确按照成本补偿方式的支付方式和支付条件）___________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绩效激励：_______（应明确按照绩效激励方式的支付方式和支付条件）_________</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3.合同履行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（1）起始日期：____________________年____________________月 ____________________日 ，完成日期：____________________年____________________月____________________日。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（2）履约地点：____________________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（3）履约担保：</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是否收取履约保证金：是 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收取履约保证金形式：____________________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收取履约保证金金额：____________________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履约担保期限：____________________</w:t>
      </w:r>
    </w:p>
    <w:p>
      <w:pPr>
        <w:pStyle w:val="4"/>
        <w:ind w:firstLine="51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履约担保期限：____________________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（4）分期履行要求：____________________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（5）风险处置措施和替代方案：____________________</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4.合同验收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（1）验收组织方式：自行验收委托第三方验收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验收主体：____________________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是否邀请本项目的其他供应商参加验收：是否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是否邀请专家参加验收：是否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是否邀请服务对象参加验收：是否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是否邀请第三方检测机构参加验收：是否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是否进行抽查检测： 是，抽查比例：__________%否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是否存在破坏性检测： 是，__________否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验收组织的其他事项：____________________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（2）履约验收时间：计划于何时验收/供应商提出验收申请之日起_______日内组织验收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（3）履约验收方式：一次性验收分期/分项验收：__________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（4）履约验收程序：____________________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（5）履约验收的内容：_________（应当包括每一项技术和商务要求的履约情况，特别是落实政府采购扶持中小企业，支持绿色发展和乡村振兴等政策情况）___________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（6）履约验收标准：_____________________________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（7）是否以采购活动中供应商提供的样品作为参考：是否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（8）履约验收其他事项：_______________</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5.组成合同的文件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本协议书与下列文件一起构成合同文件，如下述文件之间有任何抵触、矛盾或歧义，应按以下顺序解释：</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（1）政府采购合同协议书及其变更、补充协议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（2）政府采购合同专用条款</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（3）政府采购合同通用条款</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（4）中标（成交）通知书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（5）投标（响应）文件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（6）采购文件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（7）有关技术文件，图纸</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（8）国家法律、行政法规和规章制度规定或合同约定的作为合同组成部分的其他文件</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6.合同生效</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本合同自____________________生效。</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7.合同份数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本合同一式 _______ 份，甲方执 _______ 份，乙方执 _______ 份，均具有 法律效力。</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8.合同融资支付约定</w:t>
      </w:r>
    </w:p>
    <w:p>
      <w:pPr>
        <w:pStyle w:val="4"/>
        <w:jc w:val="left"/>
        <w:rPr>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8.1本合同已用于政府采购合同融资，为本项目提供合同融资的金融机构为：______，本合同项下所有款项，甲方须支付至本合同约定的乙方账号，未经_______书面同意，不得变更账号。</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合同订立时间：详见本合同封面的签订时间。</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合同订立时间：详见本合同封面的签订时间。</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合同订立地点： ____________________________</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附件：具体标的及其技术要求和商务要求、联合协议、分包意向协议等。</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甲方（采购人、受采购人委托签订合同的单位或采购文件约定的合同甲方）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单位名称（公章或合同章）： {{未填写}}（盖章）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法定代表人或其委托代理人（签章）：{{未填写}}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住 所：{{未填写}}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 系 人：{{未填写}}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联系电话：{{未填写}}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通信地址：{{未填写}}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邮政编码：{{未填写}}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电子邮箱：{{未填写}}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统一社会信用代码：{{未填写}}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第二节 政府采购合同通用条款</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 定义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1.1合同当事人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（1）采购人（以下称甲方）是指使用财政性资金，通过政府采购方式向供应商购买货物及其相关服务的国家机关、事业单位、团体组织。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（2）供应商（以下称乙方）是指参加政府采购活动并且中标（成交），向采购人提供合同约定的货物及其相关服务的法人、非法人组织或者自然人。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（3）其他合同主体是指除采购人和供应商以外，依法参与合同缔结或履行，享有权利、承担义务的合同当事人。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1.2本合同下列术语应解释为：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（2）“合同价款”系指根据本合同规定乙方在全面履行合同义务后甲方应支付给乙方的价款。</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（3）“货物”系指乙方根据本合同规定须向甲方提供的各种形态和种类的物品，包括原材料、设备、产品（包括软件）及相关的其备品备件、工具、手册及其他技术资料和材料等。</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（7）其他术语解释，见</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2.合同标的及金额</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 合同标的及金额应与中标（成交）结果一致。乙方为履行本合同而发生的所有费用均应包含在合同价款中，甲方不再另行支付其他任何费用。</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3. 履行合同的时间、地点和方式</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 乙方应当在约定的时间、地点，按照约定方式履行合同。</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4. 甲方的权利和义务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4.3 甲方有权要求乙方对缺陷部分予以修复，并按合同约定享有货物保修及其他合同约定的权利。</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4.4 甲方应当按照合同约定及时对交付的货物进行验收，未在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约定的期限内对乙方履约提出任何异议或者向乙方作出任何说明的，视为验收通过。</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4.5 甲方应当根据合同约定及时向乙方支付合同价款，不得以内部人员变更、履行内部付款流程等为由，拒绝或迟延支付。</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4.6 国家法律法规规定及</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约定应由甲方承担的其他义务和责任。</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5. 乙方的权利和义务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 签署合同后，乙方应确定项目负责人（或项目联系人），负责与本合同有关的事务。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5.3乙方有权根据合同约定向甲方收取合同价款。</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5.4国家法律法规规定及</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约定应由乙方承担的其他义务和责任。</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6.合同履行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 甲乙双方应当按照</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约定顺序履行合同义务；如果没有先后顺序的，应当同时履行。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7. 货物包装、运输、保险和交付要求</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 本合同涉及商品包装、快递包装的，除</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另有约定外，包装应适应远距离运输、防潮、防震、防锈和防野蛮装卸等要求，确保货物安全无损地运抵</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约定的指定现场。</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 除</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另有约定外，乙方负责办理将货物运抵本合同规定的交货地点，并装卸、交付至甲方的一切运输事项，相关费用应包含在合同价款中。</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7.3 货物保险要求按</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规定执行。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 乙方在运输到达之前应提前通知甲方，并提示货物运输装卸的注意事项，甲方配合乙方做好货物的接收工作。</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7.6 如因包装、运输问题导致货物损毁、丢失或者品质下降，甲方有权要求降价、换货、拒收部分或整批货物，由此产生的费用和损失，均由乙方承担。</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8. 质量标准和保证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 质量标准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（2）采用中华人民共和国法定计量单位。</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（3）乙方所提供的货物应符合国家有关安全、环保、卫生的规定。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（4）乙方应向甲方提交所提供货物的技术文件，包括相应的中文技术文件，如：产品目录、图纸、操作手册、使用说明、维护手册或服务指南等。上述文件应包装好随货物一同发运。</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8.2 保证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（2）在质量保证期内所发现的缺陷，甲方应尽快以书面形式通知乙方。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（3）乙方收到通知后，应在【政府采购合同专用条款】规定的响应时间内以合理的速度免费维修或更换有缺陷的货物或部件。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（4）在质量保证期内，如果货物的质量或规格与合同不符，或证实货物是有缺陷的，包括潜在的缺陷或使用不符合要求的材料等，甲方可以根据本合同第15.1条规定以书面形式追究乙方的违约责任。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（5）乙方在约定的时间内未能弥补缺陷，甲方可采取必要的补救措施，但其风险和费用将由乙方承担，甲方根据合同约定对乙方行使的其他权利不受影响。</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9. 权利瑕疵担保</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 乙方保证对其出售的货物享有合法的权利。</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9.2 乙方保证在交付的货物上不存在抵押权等担保物权。</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9.3 如甲方使用上述货物构成对第三人侵权的，则由乙方承担全部责任。</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10. 知识产权保护</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11. 保密义务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中约定。</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12. 合同价款支付</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 合同价款支付按照国库集中支付制度及财政管理相关规定执行。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中约定。</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13. 履约保证金</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 乙方应当以支票、汇票、本票或者金融机构、担保机构出具的保函等非现金形式提交。</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 如果乙方出现</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13.3 甲方在项目通过验收后按照</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规定的时间内将履约保证金退还乙方；逾期退还的，乙方可要求甲方支付违约金，违约金按照</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规定支付。</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14. 售后服务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 除项目不涉及或采购活动中明确约定无须承担外，乙方还应提供下列服务：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（1）货物的现场移动、安装、调试、启动监督及技术支持；</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（2）提供货物组装和维修所需的专用工具和辅助材料；</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约定的期限内对所有的货物实施运行监督、维修，但前提条件是该服务并不能免除乙方在质量保证期内所承担的义务；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（4）在制造商所在地或指定现场就货物的安装、启动、运营、维护、废弃处置等对甲方操作人员进行培训；</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（5）依照法律、行政法规的规定或者按照</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约定，货物在有效使用年限届满后应予回收的，乙方负有自行或者委托第三人对货物予以回收的义务；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规定由乙方提供的其他服务。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 乙方提供的售后服务的费用已包含在合同价款中，甲方不再另行支付。</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15. 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15.1质量瑕疵的违约责任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乙方提供的产品不符合合同约定的质量标准或存在产品质量缺陷，甲方有权要求乙方根据</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要求及时修理、重作、更换，并承担由此给甲方造成的损失。</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 迟延交货的违约责任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规定执行。如果涉及公共利益，且赔偿金额无法弥补公共利益损失，甲方可要求继续履行或者采取其他补救措施。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 迟延支付的违约责任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甲方存在迟延支付乙方合同款项的，应当承担</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规定的逾期付款利息。</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15.4其他违约责任根据项目实际需要按</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规定执行。</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16.合同变更、中止与终止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16.1合同的变更</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政府采购合同履行中，在不改变合同其他条款的前提下，甲方可以在合同价款10%的范围内追加与合同标的相同的货物，并就此与乙方协商一致后签订补充协议。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16.2合同的中止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（1）合同履行过程中因供应商就采购文件、采购过程或结果提起投诉的，甲方认为有必要的，可以中止合同的履行。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（3）乙方分立、合并或者变更住所的，应当及时以书面形式告知甲方。乙方没有及时告知甲方，致使合同履行发生困难的，甲方可以中止合同履行并要求乙方承担由此给甲方造成的损失。</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（4）甲方不得以行政区划调整、政府换届、机构或者职能调整以及相关责任人更替为由中止合同。</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16.3合同的终止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（1）合同因有效期限届满而终止；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（2）乙方未按合同约定履行，构成根本性违约的，甲方有权终止合同，并追究乙方的违约责任。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16.4 涉及国家利益、社会公共利益的情形</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政府采购合同继续履行将损害国家利益和社会公共利益的，双方当事人应当变更、中止或者终止合同。有过错的一方应当承担赔偿责任，双方都有过错的，各自承担相应的责任。</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17. 合同分包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 乙方不得将合同转包给其他供应商。涉及合同分包的，乙方应根据采购文件和投标（响应）文件规定进行合同分包。</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17.2 乙方执行政府采购政策向中小企业依法分包的，乙方应当按采购文件和投标（响应）文件签订分包意向协议，分包意向协议属于本合同组成部分。</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18. 不可抗力</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 不可抗力是指合同双方不能预见、不能避免且不能克服的客观情况。</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18.2 任何一方对由于不可抗力造成的部分或全部不能履行合同不承担违约责任。但迟延履行后发生不可抗力的，不能免除责任。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19. 解决争议的方法</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19.1 因本合同及合同有关事项发生的争议，由甲乙双方友好协商解决。协商不成时，可以向有关组织申请调解。合同一方或双方不愿调解或调解不成的，可以通过仲裁或诉讼的方式解决争议。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19.2 选择仲裁的，应在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中明确仲裁机构及仲裁地；通过诉讼方式解决的，可以在</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中进一步约定选择与争议有实际联系的地点的人民法院管辖，但管辖法院的约定不得违反级别管辖和专属管辖的规定。</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19.3 如甲乙双方有争议的事项不影响合同其他部分的履行，在争议解决期间，合同其他部分应当继续履行。</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20. 政府采购政策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 本合同应当按照规定执行政府采购政策。</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21. 法律适用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21.1 本合同的订立、生效、解释、履行及与本合同有关的争议解决，均适用法律、行政法规。</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21.2 本合同条款与法律、行政法规的强制性规定不一致的，双方当事人应按照法律、行政法规的强制性规定修改本合同的相关条款。</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22. 通知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22.1 本合同任何一方向对方发出的通知、信件、数据电文等，应当发送至本合同第一部分《政府采购合同协议书》所约定的通讯地址、联系人、联系电话或电子邮箱。</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22.2 一方当事人变更名称、住所、联系人、联系电话或电子邮箱等信息的，应当在变更后3日内及时书面通知对方，对方实际收到变更通知前的送达仍为有效送达。</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22.3本合同一方给另一方的通知均应采用书面形式，传真或快递送到本合同中规定的对方的地址和办理签收手续。</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22.4通知以送达之日或通知书中规定的生效之日起生效，两者中以较迟之日为准。</w:t>
      </w:r>
    </w:p>
    <w:p>
      <w:pPr>
        <w:pStyle w:val="4"/>
        <w:jc w:val="left"/>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23.合同未尽事项</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23.1合同未尽事项见</w:t>
      </w:r>
      <w:r>
        <w:rPr>
          <w:rFonts w:ascii="仿宋_GB2312" w:hAnsi="仿宋_GB2312" w:eastAsia="仿宋_GB2312" w:cs="仿宋_GB2312"/>
          <w:b/>
          <w:color w:val="000000" w:themeColor="text1"/>
          <w14:textFill>
            <w14:solidFill>
              <w14:schemeClr w14:val="tx1"/>
            </w14:solidFill>
          </w14:textFill>
        </w:rPr>
        <w:t>【政府采购合同专用条款】</w:t>
      </w:r>
      <w:r>
        <w:rPr>
          <w:rFonts w:ascii="仿宋_GB2312" w:hAnsi="仿宋_GB2312" w:eastAsia="仿宋_GB2312" w:cs="仿宋_GB2312"/>
          <w:color w:val="000000" w:themeColor="text1"/>
          <w14:textFill>
            <w14:solidFill>
              <w14:schemeClr w14:val="tx1"/>
            </w14:solidFill>
          </w14:textFill>
        </w:rPr>
        <w:t>。</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23.2 合同附件与合同正文具有同等的法律效力。</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第三节 政府采购合同专用条款</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第1.2（6）项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联合体具体要求</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第1.2（7）项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其他术语解释</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第4.4款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履约验收中甲方提出异议或作出说明的期限</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第4.6款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约定甲方承担的其他义务和责任</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第5.4款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约定乙方承担的其他义务和责任</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第6.1款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履行合同义务的顺序</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第7.1款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包装特殊要求</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pPr>
              <w:rPr>
                <w:color w:val="000000" w:themeColor="text1"/>
                <w14:textFill>
                  <w14:solidFill>
                    <w14:schemeClr w14:val="tx1"/>
                  </w14:solidFill>
                </w14:textFill>
              </w:rPr>
            </w:pP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指定现场</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第7.2款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运输特殊要求</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第7.3款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保险要求</w:t>
            </w:r>
          </w:p>
        </w:tc>
        <w:tc>
          <w:tcPr>
            <w:tcW w:w="2769" w:type="dxa"/>
          </w:tcPr>
          <w:p>
            <w:pPr>
              <w:pStyle w:val="4"/>
              <w:jc w:val="left"/>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第8.2（1）项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质量保证期</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第8.2（3）项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货物质量缺陷响应时间</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第11.1款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其他应当保密的信息</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第12.2款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合同价款支付时间</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第13.2款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履约保证金不予退还的情形</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第13.3款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履约保证金退还时间及逾期退还的违约金</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第14.1（3）项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运行监督、维修期限</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第14.1（5）项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货物回收的约定</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第14.1（6）项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乙方提供的其他服务</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第15.1款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修理、重作、更换相关具体规定</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第15.2（2）项</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迟延交货赔偿费</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第15.3款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逾期付款利息</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第15.4款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其他违约责任</w:t>
            </w:r>
          </w:p>
        </w:tc>
        <w:tc>
          <w:tcPr>
            <w:tcW w:w="2769"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第19.2款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解决争议的方法</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因本合同及合同有关事项发生的争议，按下列第____ 种方式解决：</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（1）向 __________________仲裁委员会申请仲裁，仲裁地点为 ____________ ；</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（2）向__________________人民法院起诉。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第二节 第23.1款</w:t>
            </w:r>
          </w:p>
        </w:tc>
        <w:tc>
          <w:tcPr>
            <w:tcW w:w="2769"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其他专用条款</w:t>
            </w:r>
          </w:p>
        </w:tc>
        <w:tc>
          <w:tcPr>
            <w:tcW w:w="2769" w:type="dxa"/>
          </w:tcPr>
          <w:p>
            <w:pPr>
              <w:rPr>
                <w:color w:val="000000" w:themeColor="text1"/>
                <w14:textFill>
                  <w14:solidFill>
                    <w14:schemeClr w14:val="tx1"/>
                  </w14:solidFill>
                </w14:textFill>
              </w:rPr>
            </w:pP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第七章 电子投标文件格式</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1、除招标文件另有规定外，本章中：</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1.1涉及投标人的“全称”：</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（1）不接受联合体投标的，指投标人的全称。</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（2）接受联合体投标且投标人为联合体的，指牵头方的全称并加注（联合体牵头方），即应表述为：“牵头方的全称（联合体牵头方）”。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1.2涉及投标人“加盖单位公章”：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（1）不接受联合体投标的，指加盖投标人的单位公章。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（2）接受联合体投标且投标人为联合体的，指加盖联合体牵头方的单位公章。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1.3涉及“投标人代表签字”：</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（1）不接受联合体投标的，指由投标人的单位负责人或其授权的委托代理人签字，由委托代理人签字的，应提供“单位授权书”。</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（2）接受联合体投标且投标人为联合体的，指由联合体牵头方的单位负责人或其授权的委托代理人签字，由委托代理人签字的，应提供“单位授权书”。</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1.4“其他组织”指合伙企业、非企业专业服务机构、个体工商户、农村承包经营户等。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1.5“自然人”指具有完全民事行为能力、能够承担民事责任和义务的中国公民。</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2、除招标文件另有规定外，本章中“投标人的资格及资信证明文件”：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2.1投标人应按照招标文件第四章第1.3条第（2）款规定及本章规定进行编制，如有必要，可增加附页，附页作为资格及资信文件的组成部分。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2.2接受联合体投标且投标人为联合体的，联合体中的各方均应按照本章第2.1条规定提交相应的全部资料。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3、投标人对电子投标文件的索引应编制页码。</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4、本章提供格式仅供参考，投标人应根据自身实际情况制作电子投标文件。</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封面格式(资格及资信证明部分)</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福建省政府采购投标文件</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（资格及资信证明部分）</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（填写正本或副本）</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所投采购包：（由投标人填写）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投标人：（填写“全称”）</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（由投标人填写）年（由投标人填写）月</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索引</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一、投标函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二、投标人的资格及资信证明文件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三、投标保证金</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资格及资信证明部分中不得出现报价部分的全部或部分的投标报价信息（或组成资料），否则资格审查不合格。（联合体协议及分包意向协议中的比例规定，不适用本条款）</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一、投标函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兹收到贵单位关于</w:t>
      </w:r>
      <w:r>
        <w:rPr>
          <w:rFonts w:ascii="仿宋_GB2312" w:hAnsi="仿宋_GB2312" w:eastAsia="仿宋_GB2312" w:cs="仿宋_GB2312"/>
          <w:color w:val="000000" w:themeColor="text1"/>
          <w:u w:val="single"/>
          <w14:textFill>
            <w14:solidFill>
              <w14:schemeClr w14:val="tx1"/>
            </w14:solidFill>
          </w14:textFill>
        </w:rPr>
        <w:t xml:space="preserve">（填写“项目名称”） </w:t>
      </w:r>
      <w:r>
        <w:rPr>
          <w:rFonts w:ascii="仿宋_GB2312" w:hAnsi="仿宋_GB2312" w:eastAsia="仿宋_GB2312" w:cs="仿宋_GB2312"/>
          <w:color w:val="000000" w:themeColor="text1"/>
          <w14:textFill>
            <w14:solidFill>
              <w14:schemeClr w14:val="tx1"/>
            </w14:solidFill>
          </w14:textFill>
        </w:rPr>
        <w:t>项目</w:t>
      </w:r>
      <w:r>
        <w:rPr>
          <w:rFonts w:ascii="仿宋_GB2312" w:hAnsi="仿宋_GB2312" w:eastAsia="仿宋_GB2312" w:cs="仿宋_GB2312"/>
          <w:color w:val="000000" w:themeColor="text1"/>
          <w:u w:val="single"/>
          <w14:textFill>
            <w14:solidFill>
              <w14:schemeClr w14:val="tx1"/>
            </w14:solidFill>
          </w14:textFill>
        </w:rPr>
        <w:t xml:space="preserve">（项目编号：　　　　　） </w:t>
      </w:r>
      <w:r>
        <w:rPr>
          <w:rFonts w:ascii="仿宋_GB2312" w:hAnsi="仿宋_GB2312" w:eastAsia="仿宋_GB2312" w:cs="仿宋_GB2312"/>
          <w:color w:val="000000" w:themeColor="text1"/>
          <w14:textFill>
            <w14:solidFill>
              <w14:schemeClr w14:val="tx1"/>
            </w14:solidFill>
          </w14:textFill>
        </w:rPr>
        <w:t>的投标邀请，本投标人代表</w:t>
      </w:r>
      <w:r>
        <w:rPr>
          <w:rFonts w:ascii="仿宋_GB2312" w:hAnsi="仿宋_GB2312" w:eastAsia="仿宋_GB2312" w:cs="仿宋_GB2312"/>
          <w:color w:val="000000" w:themeColor="text1"/>
          <w:u w:val="single"/>
          <w14:textFill>
            <w14:solidFill>
              <w14:schemeClr w14:val="tx1"/>
            </w14:solidFill>
          </w14:textFill>
        </w:rPr>
        <w:t xml:space="preserve">（填写“全名”） </w:t>
      </w:r>
      <w:r>
        <w:rPr>
          <w:rFonts w:ascii="仿宋_GB2312" w:hAnsi="仿宋_GB2312" w:eastAsia="仿宋_GB2312" w:cs="仿宋_GB2312"/>
          <w:color w:val="000000" w:themeColor="text1"/>
          <w14:textFill>
            <w14:solidFill>
              <w14:schemeClr w14:val="tx1"/>
            </w14:solidFill>
          </w14:textFill>
        </w:rPr>
        <w:t>已获得我方正式授权并代表投标人（填写“全称”）参加投标，并提交电子投标文件。我方提交的全部电子投标文件由下述部分组成：</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（1）资格及资信证明部分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①投标函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②投标人的资格及资信证明文件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③投标保证金</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（2）报价部分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①开标（报价）一览表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②投标（响应）报价明细表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③招标文件规定的价格扣除证明材料（若有）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④招标文件规定的加分证明材料（若有）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（3）技术商务部分</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①标的说明一览表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②技术和服务要求响应表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③商务条件响应表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④投标人提交的其他资料（若有）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根据本函，本投标人代表宣布我方保证遵守招标文件的全部规定，同时：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1、确认：</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1.1所投采购包的投标报价详见“开标（报价）一览表”及“投标（响应）报价明细表”。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1.2我方已详细审查全部招标文件[包括但不限于：有关附件（若有）、澄清或修改（若有）等]，并自行承担因对全部招标文件理解不正确或误解而产生的相应后果和责任。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2、承诺及声明：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2.1我方具备招标文件第一章载明的“投标人的资格要求”且符合招标文件第三章载明的“二、投标人”之规定，否则投标无效。</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2.2我方提交的电子投标文件各组成部分的全部内容及资料是不可割离且真实、有效、准确、完整和不具有任何误导性的，否则产生不利后果由我方承担责任。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2.3我方提供的标的价格不高于同期市场价格，否则产生不利后果由我方承担责任。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2.4投标保证金：若出现招标文件第三章规定的不予退还情形，同意贵单位不予退还。</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2.5投标有效期：按照招标文件第三章规定执行，并在招标文件第二章载明的期限内保持有效。</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2.6若中标，将按照招标文件、我方电子投标文件及政府采购合同履行责任和义务。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2.7若贵单位要求，我方同意提供与本项目投标有关的一切资料、数据或文件，并完全理解贵单位不一定要接受最低的投标报价或收到的任何投标。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2.8我方承诺遵守《中华人民共和国劳动合同法》有关规定和《中华人民共和国妇女权益保障法 》中关于“劳动和社会保障权益”的有关要求。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2.9我方承诺电子投标文件所提供的全部资料真实可靠，并接受评标委员会、采购人、采购代理机构、监管部门进一步审查其中任何资料真实性的要求。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2.10除招标文件另有规定外，对于贵单位按照下述联络方式发出的任何信息或通知，均视为我方已收悉前述信息或通知的全部内容：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通信地址：</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邮编：</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联系方法：（包括但不限于：联系人、联系电话、手机、传真、电子邮箱等）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投标人：（全称并加盖单位公章）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 年 月 日</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二、投标人的资格及资信证明文件</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二-1单位授权书（若有）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我方的单位负责人</w:t>
      </w:r>
      <w:r>
        <w:rPr>
          <w:rFonts w:ascii="仿宋_GB2312" w:hAnsi="仿宋_GB2312" w:eastAsia="仿宋_GB2312" w:cs="仿宋_GB2312"/>
          <w:color w:val="000000" w:themeColor="text1"/>
          <w:u w:val="single"/>
          <w14:textFill>
            <w14:solidFill>
              <w14:schemeClr w14:val="tx1"/>
            </w14:solidFill>
          </w14:textFill>
        </w:rPr>
        <w:t>（填写“单位负责人全名”）</w:t>
      </w:r>
      <w:r>
        <w:rPr>
          <w:rFonts w:ascii="仿宋_GB2312" w:hAnsi="仿宋_GB2312" w:eastAsia="仿宋_GB2312" w:cs="仿宋_GB2312"/>
          <w:color w:val="000000" w:themeColor="text1"/>
          <w14:textFill>
            <w14:solidFill>
              <w14:schemeClr w14:val="tx1"/>
            </w14:solidFill>
          </w14:textFill>
        </w:rPr>
        <w:t>授权</w:t>
      </w:r>
      <w:r>
        <w:rPr>
          <w:rFonts w:ascii="仿宋_GB2312" w:hAnsi="仿宋_GB2312" w:eastAsia="仿宋_GB2312" w:cs="仿宋_GB2312"/>
          <w:color w:val="000000" w:themeColor="text1"/>
          <w:u w:val="single"/>
          <w14:textFill>
            <w14:solidFill>
              <w14:schemeClr w14:val="tx1"/>
            </w14:solidFill>
          </w14:textFill>
        </w:rPr>
        <w:t>（填写“投标人代表全名”）</w:t>
      </w:r>
      <w:r>
        <w:rPr>
          <w:rFonts w:ascii="仿宋_GB2312" w:hAnsi="仿宋_GB2312" w:eastAsia="仿宋_GB2312" w:cs="仿宋_GB2312"/>
          <w:color w:val="000000" w:themeColor="text1"/>
          <w14:textFill>
            <w14:solidFill>
              <w14:schemeClr w14:val="tx1"/>
            </w14:solidFill>
          </w14:textFill>
        </w:rPr>
        <w:t>为投标人代表，代表我方参加</w:t>
      </w:r>
      <w:r>
        <w:rPr>
          <w:rFonts w:ascii="仿宋_GB2312" w:hAnsi="仿宋_GB2312" w:eastAsia="仿宋_GB2312" w:cs="仿宋_GB2312"/>
          <w:color w:val="000000" w:themeColor="text1"/>
          <w:u w:val="single"/>
          <w14:textFill>
            <w14:solidFill>
              <w14:schemeClr w14:val="tx1"/>
            </w14:solidFill>
          </w14:textFill>
        </w:rPr>
        <w:t>（填写“项目名称”）</w:t>
      </w:r>
      <w:r>
        <w:rPr>
          <w:rFonts w:ascii="仿宋_GB2312" w:hAnsi="仿宋_GB2312" w:eastAsia="仿宋_GB2312" w:cs="仿宋_GB2312"/>
          <w:color w:val="000000" w:themeColor="text1"/>
          <w14:textFill>
            <w14:solidFill>
              <w14:schemeClr w14:val="tx1"/>
            </w14:solidFill>
          </w14:textFill>
        </w:rPr>
        <w:t>项目（项目编号：</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投标人代表无转委权。特此授权。</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（以下无正文）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单位负责人：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身份证号：</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手机：</w:t>
      </w:r>
      <w:r>
        <w:rPr>
          <w:rFonts w:ascii="仿宋_GB2312" w:hAnsi="仿宋_GB2312" w:eastAsia="仿宋_GB2312" w:cs="仿宋_GB2312"/>
          <w:color w:val="000000" w:themeColor="text1"/>
          <w:u w:val="single"/>
          <w14:textFill>
            <w14:solidFill>
              <w14:schemeClr w14:val="tx1"/>
            </w14:solidFill>
          </w14:textFill>
        </w:rPr>
        <w:t>　　　　　</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投标人代表：</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身份证号：</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手机：</w:t>
      </w:r>
      <w:r>
        <w:rPr>
          <w:rFonts w:ascii="仿宋_GB2312" w:hAnsi="仿宋_GB2312" w:eastAsia="仿宋_GB2312" w:cs="仿宋_GB2312"/>
          <w:color w:val="000000" w:themeColor="text1"/>
          <w:u w:val="single"/>
          <w14:textFill>
            <w14:solidFill>
              <w14:schemeClr w14:val="tx1"/>
            </w14:solidFill>
          </w14:textFill>
        </w:rPr>
        <w:t>　　　　　</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授权方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签署日期：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附：单位负责人、投标人代表的身份证正反面复印件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要求：真实有效且内容完整、清晰、整洁。</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1、企业（银行、保险、石油石化、电力、电信等行业除外）、事业单位和社会团体法人的“单位负责人”指法定代表人，即与实际提交的“营业执照等证明文件”载明的一致。</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3、投标人（自然人除外）：若投标人代表为单位授权的委托代理人，应提供本授权书；若投标人代表为单位负责人，应在此项下提交其身份证正反面复印件，可不提供本授权书。</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4、投标人为自然人的，可不填写本授权书。</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二-2 证明材料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二-2-1 福建省政府采购供应商资格承诺函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单位名称(自然人姓名):</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统一社会信用代码(自然人身份证号码):</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法定代表人(负责人):</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联系地址和电话:</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我单位(本人)自愿参加本次政府采购活动，严格遵守《中华人民共和国政府采购法》及相关法律法规，坚守公开、公平公正和诚实信用等原则，依法诚信经营，并郑重承诺: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一、我单位(本人)具备采购文件要求以及《中华人民共和国政府采购法》第二十二条规定的条件:</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1.具有独立承担民事责任的能力;</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2.具有良好的商业信誉和健全的财务会计制度;</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3.具有履行合同所必需的设备和专业技术能力;</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4.有依法缴纳税收和社会保障资金的良好记录;</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5.参加政府采购活动前三年内，在经营活动中没有重大违法记录；</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6.法律、行政法规规定的其他条件。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w:t>
      </w:r>
      <w:r>
        <w:rPr>
          <w:rFonts w:ascii="仿宋_GB2312" w:hAnsi="仿宋_GB2312" w:eastAsia="仿宋_GB2312" w:cs="仿宋_GB2312"/>
          <w:color w:val="000000" w:themeColor="text1"/>
          <w:u w:val="single"/>
          <w14:textFill>
            <w14:solidFill>
              <w14:schemeClr w14:val="tx1"/>
            </w14:solidFill>
          </w14:textFill>
        </w:rPr>
        <w:t>名称(单位公章)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1.我单位(本人)专指参加政府采购活动的供应商(含自然人)；</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2.资格承诺的供应商应在投标(响应)文件中按此模板提供承诺函，否则，视为未按照招标文件规定提交投标人的资格及资信文件，按资格审查不通过处理。</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二-2-2 资格证明材料</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营业执照等证明文件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）投标人为法人（包括企业、事业单位和社会团体）的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现附上由</w:t>
      </w:r>
      <w:r>
        <w:rPr>
          <w:rFonts w:ascii="仿宋_GB2312" w:hAnsi="仿宋_GB2312" w:eastAsia="仿宋_GB2312" w:cs="仿宋_GB2312"/>
          <w:color w:val="000000" w:themeColor="text1"/>
          <w:u w:val="single"/>
          <w14:textFill>
            <w14:solidFill>
              <w14:schemeClr w14:val="tx1"/>
            </w14:solidFill>
          </w14:textFill>
        </w:rPr>
        <w:t>（（填写“签发机关全称”）</w:t>
      </w:r>
      <w:r>
        <w:rPr>
          <w:rFonts w:ascii="仿宋_GB2312" w:hAnsi="仿宋_GB2312" w:eastAsia="仿宋_GB2312" w:cs="仿宋_GB2312"/>
          <w:color w:val="000000" w:themeColor="text1"/>
          <w14:textFill>
            <w14:solidFill>
              <w14:schemeClr w14:val="tx1"/>
            </w14:solidFill>
          </w14:textFill>
        </w:rPr>
        <w:t>签发的我方统一社会信用代码（请填写法人的具体证照名称）复印件，该证明材料真实有效，否则我方负全部责任。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）投标人为非法人（包括其他组织、自然人）的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□现附上由</w:t>
      </w:r>
      <w:r>
        <w:rPr>
          <w:rFonts w:ascii="仿宋_GB2312" w:hAnsi="仿宋_GB2312" w:eastAsia="仿宋_GB2312" w:cs="仿宋_GB2312"/>
          <w:color w:val="000000" w:themeColor="text1"/>
          <w:u w:val="single"/>
          <w14:textFill>
            <w14:solidFill>
              <w14:schemeClr w14:val="tx1"/>
            </w14:solidFill>
          </w14:textFill>
        </w:rPr>
        <w:t>（（填写“签发机关全称”）</w:t>
      </w:r>
      <w:r>
        <w:rPr>
          <w:rFonts w:ascii="仿宋_GB2312" w:hAnsi="仿宋_GB2312" w:eastAsia="仿宋_GB2312" w:cs="仿宋_GB2312"/>
          <w:color w:val="000000" w:themeColor="text1"/>
          <w14:textFill>
            <w14:solidFill>
              <w14:schemeClr w14:val="tx1"/>
            </w14:solidFill>
          </w14:textFill>
        </w:rPr>
        <w:t>签发的我方（请填写非自然人的非法人的具体证照名称）复印件，该证明材料真实有效，否则我方负全部责任。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□现附上由</w:t>
      </w:r>
      <w:r>
        <w:rPr>
          <w:rFonts w:ascii="仿宋_GB2312" w:hAnsi="仿宋_GB2312" w:eastAsia="仿宋_GB2312" w:cs="仿宋_GB2312"/>
          <w:color w:val="000000" w:themeColor="text1"/>
          <w:u w:val="single"/>
          <w14:textFill>
            <w14:solidFill>
              <w14:schemeClr w14:val="tx1"/>
            </w14:solidFill>
          </w14:textFill>
        </w:rPr>
        <w:t>（（填写“签发机关全称”）</w:t>
      </w:r>
      <w:r>
        <w:rPr>
          <w:rFonts w:ascii="仿宋_GB2312" w:hAnsi="仿宋_GB2312" w:eastAsia="仿宋_GB2312" w:cs="仿宋_GB2312"/>
          <w:color w:val="000000" w:themeColor="text1"/>
          <w14:textFill>
            <w14:solidFill>
              <w14:schemeClr w14:val="tx1"/>
            </w14:solidFill>
          </w14:textFill>
        </w:rPr>
        <w:t>签发的我方（请填写自然人的身份证件名称）复印件，该证明材料真实有效，否则我方负全部责任。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1、请投标人按照实际情况编制填写，在相应的（）中打“√”并选择相应的“□”（若有）后，再按照本格式的要求提供相应证明材料的复印件。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财务状况报告（财务报告、或资信证明）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）投标人提供财务报告的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□企业适用：现附上我方</w:t>
      </w:r>
      <w:r>
        <w:rPr>
          <w:rFonts w:ascii="仿宋_GB2312" w:hAnsi="仿宋_GB2312" w:eastAsia="仿宋_GB2312" w:cs="仿宋_GB2312"/>
          <w:color w:val="000000" w:themeColor="text1"/>
          <w:u w:val="single"/>
          <w14:textFill>
            <w14:solidFill>
              <w14:schemeClr w14:val="tx1"/>
            </w14:solidFill>
          </w14:textFill>
        </w:rPr>
        <w:t>（填写“具体的年度、或半年度、季度”）</w:t>
      </w:r>
      <w:r>
        <w:rPr>
          <w:rFonts w:ascii="仿宋_GB2312" w:hAnsi="仿宋_GB2312" w:eastAsia="仿宋_GB2312" w:cs="仿宋_GB2312"/>
          <w:color w:val="000000" w:themeColor="text1"/>
          <w14:textFill>
            <w14:solidFill>
              <w14:schemeClr w14:val="tx1"/>
            </w14:solidFill>
          </w14:textFill>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□事业单位适用：现附上我方</w:t>
      </w:r>
      <w:r>
        <w:rPr>
          <w:rFonts w:ascii="仿宋_GB2312" w:hAnsi="仿宋_GB2312" w:eastAsia="仿宋_GB2312" w:cs="仿宋_GB2312"/>
          <w:color w:val="000000" w:themeColor="text1"/>
          <w:u w:val="single"/>
          <w14:textFill>
            <w14:solidFill>
              <w14:schemeClr w14:val="tx1"/>
            </w14:solidFill>
          </w14:textFill>
        </w:rPr>
        <w:t>（填写“具体的年度、或半年度、或季度”）</w:t>
      </w:r>
      <w:r>
        <w:rPr>
          <w:rFonts w:ascii="仿宋_GB2312" w:hAnsi="仿宋_GB2312" w:eastAsia="仿宋_GB2312" w:cs="仿宋_GB2312"/>
          <w:color w:val="000000" w:themeColor="text1"/>
          <w14:textFill>
            <w14:solidFill>
              <w14:schemeClr w14:val="tx1"/>
            </w14:solidFill>
          </w14:textFill>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□社会团体、民办非企适用：现附上我方</w:t>
      </w:r>
      <w:r>
        <w:rPr>
          <w:rFonts w:ascii="仿宋_GB2312" w:hAnsi="仿宋_GB2312" w:eastAsia="仿宋_GB2312" w:cs="仿宋_GB2312"/>
          <w:color w:val="000000" w:themeColor="text1"/>
          <w:u w:val="single"/>
          <w14:textFill>
            <w14:solidFill>
              <w14:schemeClr w14:val="tx1"/>
            </w14:solidFill>
          </w14:textFill>
        </w:rPr>
        <w:t>（填写“具体的年度、或半年度、或季度”）</w:t>
      </w:r>
      <w:r>
        <w:rPr>
          <w:rFonts w:ascii="仿宋_GB2312" w:hAnsi="仿宋_GB2312" w:eastAsia="仿宋_GB2312" w:cs="仿宋_GB2312"/>
          <w:color w:val="000000" w:themeColor="text1"/>
          <w14:textFill>
            <w14:solidFill>
              <w14:schemeClr w14:val="tx1"/>
            </w14:solidFill>
          </w14:textFill>
        </w:rPr>
        <w:t>财务报告复印件，包括资产负债表、业务活动表、现金流量表、会计师事务所营业执照和注册会计师资格证书，上述证明材料真实有效，否则我方负全部责任。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）投标人提供资信证明的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□非自然人适用（包括企业、事业单位、社会团体和其他组织）：现附上我方银行：</w:t>
      </w:r>
      <w:r>
        <w:rPr>
          <w:rFonts w:ascii="仿宋_GB2312" w:hAnsi="仿宋_GB2312" w:eastAsia="仿宋_GB2312" w:cs="仿宋_GB2312"/>
          <w:color w:val="000000" w:themeColor="text1"/>
          <w:u w:val="single"/>
          <w14:textFill>
            <w14:solidFill>
              <w14:schemeClr w14:val="tx1"/>
            </w14:solidFill>
          </w14:textFill>
        </w:rPr>
        <w:t>（填写“开户银行全称”）</w:t>
      </w:r>
      <w:r>
        <w:rPr>
          <w:rFonts w:ascii="仿宋_GB2312" w:hAnsi="仿宋_GB2312" w:eastAsia="仿宋_GB2312" w:cs="仿宋_GB2312"/>
          <w:color w:val="000000" w:themeColor="text1"/>
          <w14:textFill>
            <w14:solidFill>
              <w14:schemeClr w14:val="tx1"/>
            </w14:solidFill>
          </w14:textFill>
        </w:rPr>
        <w:t>出具的资信证明复印件，上述证明材料真实有效，否则我方负全部责任。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□自然人适用：现附上我方银行</w:t>
      </w:r>
      <w:r>
        <w:rPr>
          <w:rFonts w:ascii="仿宋_GB2312" w:hAnsi="仿宋_GB2312" w:eastAsia="仿宋_GB2312" w:cs="仿宋_GB2312"/>
          <w:color w:val="000000" w:themeColor="text1"/>
          <w:u w:val="single"/>
          <w14:textFill>
            <w14:solidFill>
              <w14:schemeClr w14:val="tx1"/>
            </w14:solidFill>
          </w14:textFill>
        </w:rPr>
        <w:t>：（填写自然人的“个人账户的开户银行全称”）</w:t>
      </w:r>
      <w:r>
        <w:rPr>
          <w:rFonts w:ascii="仿宋_GB2312" w:hAnsi="仿宋_GB2312" w:eastAsia="仿宋_GB2312" w:cs="仿宋_GB2312"/>
          <w:color w:val="000000" w:themeColor="text1"/>
          <w14:textFill>
            <w14:solidFill>
              <w14:schemeClr w14:val="tx1"/>
            </w14:solidFill>
          </w14:textFill>
        </w:rPr>
        <w:t>出具的资信证明复印件，上述证明材料真实有效，否则我方负全部责任。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1、请投标人按照实际情况编制填写，在相应的（）中打“√”并选择相应的“□”（若有）后，再按照本格式的要求提供相应证明材料的复印件。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2、投标人提供的财务报告复印件（成立年限按照投标截止时间推算）应符合下列规定：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2.1成立年限满1年及以上的投标人，提供经审计的招标文件规定的年度财务报告。</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2.2成立年限满半年但不足1年的投标人，提供该半年度中任一季度的季度财务报告或该半年度的半年度财务报告。</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依法缴纳税收证明材料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1、依法缴纳税收的投标人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）法人（包括企业、事业单位和社会团体）的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现附上自</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至</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）非法人（包括其他组织、自然人）的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现附上自</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至</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2、依法免税的投标人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）现附上我方依法免税的证明材料复印件，上述证明材料真实有效，否则我方负全部责任。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1、请投标人按照实际情况编制填写，在相应的（）中打“√”，并按照本格式的要求提供相应证明材料的复印件。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2、投标人提供的税收缴纳凭据复印件应符合下列规定：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2.1投标截止时间前（不含投标截止时间的当月）已依法缴纳税收的投标人，提供投标截止时间前六个月（不含投标截止时间的当月）中任一月份的税收缴纳凭据复印件。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2.2投标截止时间的当月成立的投标人，视同满足本项资格条件要求。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3、若为依法免税范围的投标人，提供依法免税证明材料的，视同满足本项资格条件要求。</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依法缴纳社会保障资金证明材料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1、依法缴纳社会保障资金的投标人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）法人（包括企业、事业单位和社会团体）的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现附上自</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至</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）非法人（包括其他组织、自然人）的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自</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至</w:t>
      </w:r>
      <w:r>
        <w:rPr>
          <w:rFonts w:ascii="仿宋_GB2312" w:hAnsi="仿宋_GB2312" w:eastAsia="仿宋_GB2312" w:cs="仿宋_GB2312"/>
          <w:color w:val="000000" w:themeColor="text1"/>
          <w:u w:val="single"/>
          <w14:textFill>
            <w14:solidFill>
              <w14:schemeClr w14:val="tx1"/>
            </w14:solidFill>
          </w14:textFill>
        </w:rPr>
        <w:t>　　年　　月　　日</w:t>
      </w:r>
      <w:r>
        <w:rPr>
          <w:rFonts w:ascii="仿宋_GB2312" w:hAnsi="仿宋_GB2312" w:eastAsia="仿宋_GB2312" w:cs="仿宋_GB2312"/>
          <w:color w:val="000000" w:themeColor="text1"/>
          <w14:textFill>
            <w14:solidFill>
              <w14:schemeClr w14:val="tx1"/>
            </w14:solidFill>
          </w14:textFill>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2、依法不需要缴纳或暂缓缴纳社会保障资金的投标人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）现附上我方依法不需要缴纳或暂缓缴纳社会保障资金证明材料复印件，上述证明材料真实有效，否则我方负全部责任。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1、请投标人按照实际情况编制填写，在相应的（）中打“√”，并按照本格式的要求提供相应证明材料的复印件。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2、投标人提供的社会保障资金缴纳凭据复印件应符合下列规定：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2.2投标截止时间的当月成立的投标人，视同满足本项资格条件要求。</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3、若为依法不需要缴纳或暂缓缴纳社会保障资金的投标人，提供依法不需要缴纳或暂缓缴纳社会保障资金证明材料的，视同满足本项资格条件要求。</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具备履行合同所必需设备和专业技术能力的声明函（若有）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我方具备履行合同所必需的设备和专业技术能力，否则产生不利后果由我方承担责任。</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特此声明。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1、招标文件未要求投标人提供“具备履行合同所必需的设备和专业技术能力专项证明材料”的，投标人应提供本声明函。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2、招标文件要求投标人提供“具备履行合同所必需的设备和专业技术能力专项证明材料”的，投标人可不提供本声明函。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3、请投标人根据实际情况如实声明，否则视为提供虚假材料。</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参加采购活动前三年内在经营活动中没有重大违法记录书面声明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特此声明。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请投标人根据实际情况如实声明，否则视为提供虚假材料。</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二-3信用记录查询提示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1、由资格审查小组通过网站查询并打印投标人的信用记录。</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二-4中小企业声明函</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（以资格条件落实中小企业扶持政策时适用，若有）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中小企业声明函（货物）</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本公司（联合体）郑重声明，根据《政府采购促进中小企业发展管理办法》（财库﹝2020﹞46 号）的规定，本公司（联合体）参加</w:t>
      </w:r>
      <w:r>
        <w:rPr>
          <w:rFonts w:ascii="仿宋_GB2312" w:hAnsi="仿宋_GB2312" w:eastAsia="仿宋_GB2312" w:cs="仿宋_GB2312"/>
          <w:color w:val="000000" w:themeColor="text1"/>
          <w:u w:val="single"/>
          <w14:textFill>
            <w14:solidFill>
              <w14:schemeClr w14:val="tx1"/>
            </w14:solidFill>
          </w14:textFill>
        </w:rPr>
        <w:t>（单位名称）</w:t>
      </w:r>
      <w:r>
        <w:rPr>
          <w:rFonts w:ascii="仿宋_GB2312" w:hAnsi="仿宋_GB2312" w:eastAsia="仿宋_GB2312" w:cs="仿宋_GB2312"/>
          <w:color w:val="000000" w:themeColor="text1"/>
          <w14:textFill>
            <w14:solidFill>
              <w14:schemeClr w14:val="tx1"/>
            </w14:solidFill>
          </w14:textFill>
        </w:rPr>
        <w:t>的</w:t>
      </w:r>
      <w:r>
        <w:rPr>
          <w:rFonts w:ascii="仿宋_GB2312" w:hAnsi="仿宋_GB2312" w:eastAsia="仿宋_GB2312" w:cs="仿宋_GB2312"/>
          <w:color w:val="000000" w:themeColor="text1"/>
          <w:u w:val="single"/>
          <w14:textFill>
            <w14:solidFill>
              <w14:schemeClr w14:val="tx1"/>
            </w14:solidFill>
          </w14:textFill>
        </w:rPr>
        <w:t>（项目名称）</w:t>
      </w:r>
      <w:r>
        <w:rPr>
          <w:rFonts w:ascii="仿宋_GB2312" w:hAnsi="仿宋_GB2312" w:eastAsia="仿宋_GB2312" w:cs="仿宋_GB2312"/>
          <w:color w:val="000000" w:themeColor="text1"/>
          <w14:textFill>
            <w14:solidFill>
              <w14:schemeClr w14:val="tx1"/>
            </w14:solidFill>
          </w14:textFill>
        </w:rPr>
        <w:t>采购活动，提供的货物全部由符合政策要求的中小企业制造。相关企业（含联合体中的中小企业、签订分包意向协议的中小企业）的具体情况如下：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r>
        <w:rPr>
          <w:rFonts w:ascii="仿宋_GB2312" w:hAnsi="仿宋_GB2312" w:eastAsia="仿宋_GB2312" w:cs="仿宋_GB2312"/>
          <w:color w:val="000000" w:themeColor="text1"/>
          <w:u w:val="single"/>
          <w14:textFill>
            <w14:solidFill>
              <w14:schemeClr w14:val="tx1"/>
            </w14:solidFill>
          </w14:textFill>
        </w:rPr>
        <w:t xml:space="preserve"> （标的名称） </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行业；制造商为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万元¹，属于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ascii="仿宋_GB2312" w:hAnsi="仿宋_GB2312" w:eastAsia="仿宋_GB2312" w:cs="仿宋_GB2312"/>
          <w:color w:val="000000" w:themeColor="text1"/>
          <w:u w:val="single"/>
          <w14:textFill>
            <w14:solidFill>
              <w14:schemeClr w14:val="tx1"/>
            </w14:solidFill>
          </w14:textFill>
        </w:rPr>
        <w:t xml:space="preserve"> （标的名称） </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行业；制造商为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以上企业，不属于大企业的分支机构，不存在控股股东为大企业的情形，也不存在与大企业的负责人为同一人的情形。</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本企业对上述声明内容的真实性负责。如有虚假，将依法承担相应责任。</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1、从业人员、营业收入、资产总额填报上一年度数据，无上一年度数据的新成立企业可不填报。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中小企业声明函（工程、服务）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本公司（联合体）郑重声明，根据《政府采购促进中小企业发展管理办法》（财库﹝2020﹞46 号）的规定，本公司（联合体）参加</w:t>
      </w:r>
      <w:r>
        <w:rPr>
          <w:rFonts w:ascii="仿宋_GB2312" w:hAnsi="仿宋_GB2312" w:eastAsia="仿宋_GB2312" w:cs="仿宋_GB2312"/>
          <w:color w:val="000000" w:themeColor="text1"/>
          <w:u w:val="single"/>
          <w14:textFill>
            <w14:solidFill>
              <w14:schemeClr w14:val="tx1"/>
            </w14:solidFill>
          </w14:textFill>
        </w:rPr>
        <w:t>（单位名称）</w:t>
      </w:r>
      <w:r>
        <w:rPr>
          <w:rFonts w:ascii="仿宋_GB2312" w:hAnsi="仿宋_GB2312" w:eastAsia="仿宋_GB2312" w:cs="仿宋_GB2312"/>
          <w:color w:val="000000" w:themeColor="text1"/>
          <w14:textFill>
            <w14:solidFill>
              <w14:schemeClr w14:val="tx1"/>
            </w14:solidFill>
          </w14:textFill>
        </w:rPr>
        <w:t>的</w:t>
      </w:r>
      <w:r>
        <w:rPr>
          <w:rFonts w:ascii="仿宋_GB2312" w:hAnsi="仿宋_GB2312" w:eastAsia="仿宋_GB2312" w:cs="仿宋_GB2312"/>
          <w:color w:val="000000" w:themeColor="text1"/>
          <w:u w:val="single"/>
          <w14:textFill>
            <w14:solidFill>
              <w14:schemeClr w14:val="tx1"/>
            </w14:solidFill>
          </w14:textFill>
        </w:rPr>
        <w:t>（项目名称）</w:t>
      </w:r>
      <w:r>
        <w:rPr>
          <w:rFonts w:ascii="仿宋_GB2312" w:hAnsi="仿宋_GB2312" w:eastAsia="仿宋_GB2312" w:cs="仿宋_GB2312"/>
          <w:color w:val="000000" w:themeColor="text1"/>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r>
        <w:rPr>
          <w:rFonts w:ascii="仿宋_GB2312" w:hAnsi="仿宋_GB2312" w:eastAsia="仿宋_GB2312" w:cs="仿宋_GB2312"/>
          <w:color w:val="000000" w:themeColor="text1"/>
          <w:u w:val="single"/>
          <w14:textFill>
            <w14:solidFill>
              <w14:schemeClr w14:val="tx1"/>
            </w14:solidFill>
          </w14:textFill>
        </w:rPr>
        <w:t>（标的名称）</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；承建（承接）企业为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万元¹，属于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ascii="仿宋_GB2312" w:hAnsi="仿宋_GB2312" w:eastAsia="仿宋_GB2312" w:cs="仿宋_GB2312"/>
          <w:color w:val="000000" w:themeColor="text1"/>
          <w:u w:val="single"/>
          <w14:textFill>
            <w14:solidFill>
              <w14:schemeClr w14:val="tx1"/>
            </w14:solidFill>
          </w14:textFill>
        </w:rPr>
        <w:t>（标的名称）</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；承建（承接）企业为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以上企业，不属于大企业的分支机构，不存在控股股东为大企业的情形，也不存在与大企业的负责人为同一人的情形。</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本企业对上述声明内容的真实性负责。如有虚假，将依法承担相应责任。</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1、从业人员、营业收入、资产总额填报上一年度数据，无上一年度数据的新成立企业可不填报。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残疾人福利性单位声明函</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（以资格条件落实中小企业扶持政策时适用，若有）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）由本投标人承建的（填写“所投采购包、品目号”）工程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）由本投标人承接的（填写“所投采购包、品目号”）服务；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本投标人对上述声明的真实性负责。如有虚假，将依法承担相应责任。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1、请投标人按照实际情况编制填写本声明函，并在相应的（）中打“√”。</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2、若《残疾人福利性单位声明函》内容不真实，视为提供虚假材料。</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附：</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监狱企业证明材料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投标人为监狱企业，提供本单位制造的货物（承接的服务），并在电子投标文件中提供省级以上监狱管理局、戒毒管理局（含新疆生产建设兵团）出具的属于监狱企业的证明文件。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二-5联合体协议（若有）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致：</w:t>
      </w:r>
      <w:r>
        <w:rPr>
          <w:rFonts w:ascii="仿宋_GB2312" w:hAnsi="仿宋_GB2312" w:eastAsia="仿宋_GB2312" w:cs="仿宋_GB2312"/>
          <w:color w:val="000000" w:themeColor="text1"/>
          <w:u w:val="single"/>
          <w14:textFill>
            <w14:solidFill>
              <w14:schemeClr w14:val="tx1"/>
            </w14:solidFill>
          </w14:textFill>
        </w:rPr>
        <w:t>（采购人或采购代理机构）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兹有</w:t>
      </w:r>
      <w:r>
        <w:rPr>
          <w:rFonts w:ascii="仿宋_GB2312" w:hAnsi="仿宋_GB2312" w:eastAsia="仿宋_GB2312" w:cs="仿宋_GB2312"/>
          <w:color w:val="000000" w:themeColor="text1"/>
          <w:u w:val="single"/>
          <w14:textFill>
            <w14:solidFill>
              <w14:schemeClr w14:val="tx1"/>
            </w14:solidFill>
          </w14:textFill>
        </w:rPr>
        <w:t>（填写“联合体中各方的全称”，各方的全称之间请用“、”分割）</w:t>
      </w:r>
      <w:r>
        <w:rPr>
          <w:rFonts w:ascii="仿宋_GB2312" w:hAnsi="仿宋_GB2312" w:eastAsia="仿宋_GB2312" w:cs="仿宋_GB2312"/>
          <w:color w:val="000000" w:themeColor="text1"/>
          <w14:textFill>
            <w14:solidFill>
              <w14:schemeClr w14:val="tx1"/>
            </w14:solidFill>
          </w14:textFill>
        </w:rPr>
        <w:t>自愿组成联合体，共同参加</w:t>
      </w:r>
      <w:r>
        <w:rPr>
          <w:rFonts w:ascii="仿宋_GB2312" w:hAnsi="仿宋_GB2312" w:eastAsia="仿宋_GB2312" w:cs="仿宋_GB2312"/>
          <w:color w:val="000000" w:themeColor="text1"/>
          <w:u w:val="single"/>
          <w14:textFill>
            <w14:solidFill>
              <w14:schemeClr w14:val="tx1"/>
            </w14:solidFill>
          </w14:textFill>
        </w:rPr>
        <w:t>（填写“项目名称”）</w:t>
      </w:r>
      <w:r>
        <w:rPr>
          <w:rFonts w:ascii="仿宋_GB2312" w:hAnsi="仿宋_GB2312" w:eastAsia="仿宋_GB2312" w:cs="仿宋_GB2312"/>
          <w:color w:val="000000" w:themeColor="text1"/>
          <w14:textFill>
            <w14:solidFill>
              <w14:schemeClr w14:val="tx1"/>
            </w14:solidFill>
          </w14:textFill>
        </w:rPr>
        <w:t xml:space="preserve"> 项目（项目编号：</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）的投标。现就联合体参加本项目投标的有关事宜达成下列协议：</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一、联合体各方应承担的工作和义务具体如下：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1、牵头方（全称）：</w:t>
      </w:r>
      <w:r>
        <w:rPr>
          <w:rFonts w:ascii="仿宋_GB2312" w:hAnsi="仿宋_GB2312" w:eastAsia="仿宋_GB2312" w:cs="仿宋_GB2312"/>
          <w:color w:val="000000" w:themeColor="text1"/>
          <w:u w:val="single"/>
          <w14:textFill>
            <w14:solidFill>
              <w14:schemeClr w14:val="tx1"/>
            </w14:solidFill>
          </w14:textFill>
        </w:rPr>
        <w:t xml:space="preserve">（填写“工作及义务的具体内容”） </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2、成员方：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2.1（成员一的全称）：</w:t>
      </w:r>
      <w:r>
        <w:rPr>
          <w:rFonts w:ascii="仿宋_GB2312" w:hAnsi="仿宋_GB2312" w:eastAsia="仿宋_GB2312" w:cs="仿宋_GB2312"/>
          <w:color w:val="000000" w:themeColor="text1"/>
          <w:u w:val="single"/>
          <w14:textFill>
            <w14:solidFill>
              <w14:schemeClr w14:val="tx1"/>
            </w14:solidFill>
          </w14:textFill>
        </w:rPr>
        <w:t>（填写“工作及义务的具体内容”）</w:t>
      </w:r>
      <w:r>
        <w:rPr>
          <w:rFonts w:ascii="仿宋_GB2312" w:hAnsi="仿宋_GB2312" w:eastAsia="仿宋_GB2312" w:cs="仿宋_GB2312"/>
          <w:color w:val="000000" w:themeColor="text1"/>
          <w14:textFill>
            <w14:solidFill>
              <w14:schemeClr w14:val="tx1"/>
            </w14:solidFill>
          </w14:textFill>
        </w:rPr>
        <w:t xml:space="preserve"> ；</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二、联合体各方的合同金额占比，具体如下：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1.牵头方（</w:t>
      </w:r>
      <w:r>
        <w:rPr>
          <w:rFonts w:ascii="仿宋_GB2312" w:hAnsi="仿宋_GB2312" w:eastAsia="仿宋_GB2312" w:cs="仿宋_GB2312"/>
          <w:color w:val="000000" w:themeColor="text1"/>
          <w:u w:val="single"/>
          <w14:textFill>
            <w14:solidFill>
              <w14:schemeClr w14:val="tx1"/>
            </w14:solidFill>
          </w14:textFill>
        </w:rPr>
        <w:t xml:space="preserve"> 全称</w:t>
      </w:r>
      <w:r>
        <w:rPr>
          <w:rFonts w:ascii="仿宋_GB2312" w:hAnsi="仿宋_GB2312" w:eastAsia="仿宋_GB2312" w:cs="仿宋_GB2312"/>
          <w:color w:val="000000" w:themeColor="text1"/>
          <w14:textFill>
            <w14:solidFill>
              <w14:schemeClr w14:val="tx1"/>
            </w14:solidFill>
          </w14:textFill>
        </w:rPr>
        <w:t xml:space="preserve"> ）的合同金额占合同总额的</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2.成员方：</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w:t>
      </w:r>
      <w:r>
        <w:rPr>
          <w:rFonts w:ascii="仿宋_GB2312" w:hAnsi="仿宋_GB2312" w:eastAsia="仿宋_GB2312" w:cs="仿宋_GB2312"/>
          <w:color w:val="000000" w:themeColor="text1"/>
          <w:u w:val="single"/>
          <w14:textFill>
            <w14:solidFill>
              <w14:schemeClr w14:val="tx1"/>
            </w14:solidFill>
          </w14:textFill>
        </w:rPr>
        <w:t xml:space="preserve"> 成员1的全称 </w:t>
      </w:r>
      <w:r>
        <w:rPr>
          <w:rFonts w:ascii="仿宋_GB2312" w:hAnsi="仿宋_GB2312" w:eastAsia="仿宋_GB2312" w:cs="仿宋_GB2312"/>
          <w:color w:val="000000" w:themeColor="text1"/>
          <w14:textFill>
            <w14:solidFill>
              <w14:schemeClr w14:val="tx1"/>
            </w14:solidFill>
          </w14:textFill>
        </w:rPr>
        <w:t>）的合同金额占合同总额的</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三、联合体各方约定：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1、由</w:t>
      </w:r>
      <w:r>
        <w:rPr>
          <w:rFonts w:ascii="仿宋_GB2312" w:hAnsi="仿宋_GB2312" w:eastAsia="仿宋_GB2312" w:cs="仿宋_GB2312"/>
          <w:color w:val="000000" w:themeColor="text1"/>
          <w:u w:val="single"/>
          <w14:textFill>
            <w14:solidFill>
              <w14:schemeClr w14:val="tx1"/>
            </w14:solidFill>
          </w14:textFill>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2、联合体各方约定由</w:t>
      </w:r>
      <w:r>
        <w:rPr>
          <w:rFonts w:ascii="仿宋_GB2312" w:hAnsi="仿宋_GB2312" w:eastAsia="仿宋_GB2312" w:cs="仿宋_GB2312"/>
          <w:color w:val="000000" w:themeColor="text1"/>
          <w:u w:val="single"/>
          <w14:textFill>
            <w14:solidFill>
              <w14:schemeClr w14:val="tx1"/>
            </w14:solidFill>
          </w14:textFill>
        </w:rPr>
        <w:t>（填写“牵头方的全称”）代表联合体办理投标保证金事宜。</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五、本协议自签署之日起生效，政府采购合同履行完毕后自动失效。</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六、本协议一式</w:t>
      </w:r>
      <w:r>
        <w:rPr>
          <w:rFonts w:ascii="仿宋_GB2312" w:hAnsi="仿宋_GB2312" w:eastAsia="仿宋_GB2312" w:cs="仿宋_GB2312"/>
          <w:color w:val="000000" w:themeColor="text1"/>
          <w:u w:val="single"/>
          <w14:textFill>
            <w14:solidFill>
              <w14:schemeClr w14:val="tx1"/>
            </w14:solidFill>
          </w14:textFill>
        </w:rPr>
        <w:t>（填写具体份数）</w:t>
      </w:r>
      <w:r>
        <w:rPr>
          <w:rFonts w:ascii="仿宋_GB2312" w:hAnsi="仿宋_GB2312" w:eastAsia="仿宋_GB2312" w:cs="仿宋_GB2312"/>
          <w:color w:val="000000" w:themeColor="text1"/>
          <w14:textFill>
            <w14:solidFill>
              <w14:schemeClr w14:val="tx1"/>
            </w14:solidFill>
          </w14:textFill>
        </w:rPr>
        <w:t>份，联合体各方各执一份，电子投标文件中提交一份。</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（以下无正文）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牵头方：</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法定代表人或其委托代理人：</w:t>
      </w:r>
      <w:r>
        <w:rPr>
          <w:rFonts w:ascii="仿宋_GB2312" w:hAnsi="仿宋_GB2312" w:eastAsia="仿宋_GB2312" w:cs="仿宋_GB2312"/>
          <w:color w:val="000000" w:themeColor="text1"/>
          <w:u w:val="single"/>
          <w14:textFill>
            <w14:solidFill>
              <w14:schemeClr w14:val="tx1"/>
            </w14:solidFill>
          </w14:textFill>
        </w:rPr>
        <w:t xml:space="preserve"> （签字或盖章）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成员一：</w:t>
      </w:r>
      <w:r>
        <w:rPr>
          <w:rFonts w:ascii="仿宋_GB2312" w:hAnsi="仿宋_GB2312" w:eastAsia="仿宋_GB2312" w:cs="仿宋_GB2312"/>
          <w:color w:val="000000" w:themeColor="text1"/>
          <w:u w:val="single"/>
          <w14:textFill>
            <w14:solidFill>
              <w14:schemeClr w14:val="tx1"/>
            </w14:solidFill>
          </w14:textFill>
        </w:rPr>
        <w:t>（全称并加盖成员一的单位公章）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法定代表人或其委托代理人：</w:t>
      </w:r>
      <w:r>
        <w:rPr>
          <w:rFonts w:ascii="仿宋_GB2312" w:hAnsi="仿宋_GB2312" w:eastAsia="仿宋_GB2312" w:cs="仿宋_GB2312"/>
          <w:color w:val="000000" w:themeColor="text1"/>
          <w:u w:val="single"/>
          <w14:textFill>
            <w14:solidFill>
              <w14:schemeClr w14:val="tx1"/>
            </w14:solidFill>
          </w14:textFill>
        </w:rPr>
        <w:t xml:space="preserve"> （签字或盖章）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成员**：</w:t>
      </w:r>
      <w:r>
        <w:rPr>
          <w:rFonts w:ascii="仿宋_GB2312" w:hAnsi="仿宋_GB2312" w:eastAsia="仿宋_GB2312" w:cs="仿宋_GB2312"/>
          <w:color w:val="000000" w:themeColor="text1"/>
          <w:u w:val="single"/>
          <w14:textFill>
            <w14:solidFill>
              <w14:schemeClr w14:val="tx1"/>
            </w14:solidFill>
          </w14:textFill>
        </w:rPr>
        <w:t>（全称并加盖成员**的单位公章）</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法定代表人或其委托代理人：</w:t>
      </w:r>
      <w:r>
        <w:rPr>
          <w:rFonts w:ascii="仿宋_GB2312" w:hAnsi="仿宋_GB2312" w:eastAsia="仿宋_GB2312" w:cs="仿宋_GB2312"/>
          <w:color w:val="000000" w:themeColor="text1"/>
          <w:u w:val="single"/>
          <w14:textFill>
            <w14:solidFill>
              <w14:schemeClr w14:val="tx1"/>
            </w14:solidFill>
          </w14:textFill>
        </w:rPr>
        <w:t xml:space="preserve"> （签字或盖章）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签署日期：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1、招标文件接受联合体投标且投标人为联合体的，投标人应提供本协议；否则无须提供。</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2、本协议由委托代理人签字或盖章的，应按照本章载明的格式提供“单位授权书”。</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3、在以联合体形式落实中小企业预留份额项目中，投标人除了要提供《中小企业声明函》，还需提供本协议。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二-6分包意向协议（若有）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甲方（总包方）：</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（即本项目的投标人）</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乙方（分包方）：</w:t>
      </w:r>
      <w:r>
        <w:rPr>
          <w:rFonts w:ascii="仿宋_GB2312" w:hAnsi="仿宋_GB2312" w:eastAsia="仿宋_GB2312" w:cs="仿宋_GB2312"/>
          <w:color w:val="000000" w:themeColor="text1"/>
          <w:u w:val="single"/>
          <w14:textFill>
            <w14:solidFill>
              <w14:schemeClr w14:val="tx1"/>
            </w14:solidFill>
          </w14:textFill>
        </w:rPr>
        <w:t>　　　　　　　</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兹有甲方参加</w:t>
      </w:r>
      <w:r>
        <w:rPr>
          <w:rFonts w:ascii="仿宋_GB2312" w:hAnsi="仿宋_GB2312" w:eastAsia="仿宋_GB2312" w:cs="仿宋_GB2312"/>
          <w:color w:val="000000" w:themeColor="text1"/>
          <w:u w:val="single"/>
          <w14:textFill>
            <w14:solidFill>
              <w14:schemeClr w14:val="tx1"/>
            </w14:solidFill>
          </w14:textFill>
        </w:rPr>
        <w:t>（填写“项目名称”）</w:t>
      </w:r>
      <w:r>
        <w:rPr>
          <w:rFonts w:ascii="仿宋_GB2312" w:hAnsi="仿宋_GB2312" w:eastAsia="仿宋_GB2312" w:cs="仿宋_GB2312"/>
          <w:color w:val="000000" w:themeColor="text1"/>
          <w14:textFill>
            <w14:solidFill>
              <w14:schemeClr w14:val="tx1"/>
            </w14:solidFill>
          </w14:textFill>
        </w:rPr>
        <w:t xml:space="preserve"> 项目（项目编号：</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一、分包标的</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u w:val="single"/>
          <w14:textFill>
            <w14:solidFill>
              <w14:schemeClr w14:val="tx1"/>
            </w14:solidFill>
          </w14:textFill>
        </w:rPr>
        <w:t>（根据双方的意向填写，可以是表格或文字描述）。</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二、分包合同金额占比</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分包合同价占投标总价的比例：</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三、其他条款</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甲方：</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住所：</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单位负责人或委托代理人：</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联系方法：</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开户银行：</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账号：</w:t>
            </w:r>
          </w:p>
        </w:tc>
        <w:tc>
          <w:tcPr>
            <w:tcW w:w="4153"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签订地点：</w:t>
            </w:r>
            <w:r>
              <w:rPr>
                <w:rFonts w:ascii="仿宋_GB2312" w:hAnsi="仿宋_GB2312" w:eastAsia="仿宋_GB2312" w:cs="仿宋_GB2312"/>
                <w:color w:val="000000" w:themeColor="text1"/>
                <w:u w:val="single"/>
                <w14:textFill>
                  <w14:solidFill>
                    <w14:schemeClr w14:val="tx1"/>
                  </w14:solidFill>
                </w14:textFill>
              </w:rPr>
              <w:t>　　　　　　　　　　</w:t>
            </w:r>
          </w:p>
          <w:p>
            <w:pPr>
              <w:pStyle w:val="4"/>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签约日期：</w:t>
            </w:r>
            <w:r>
              <w:rPr>
                <w:rFonts w:ascii="仿宋_GB2312" w:hAnsi="仿宋_GB2312" w:eastAsia="仿宋_GB2312" w:cs="仿宋_GB2312"/>
                <w:color w:val="000000" w:themeColor="text1"/>
                <w:u w:val="single"/>
                <w14:textFill>
                  <w14:solidFill>
                    <w14:schemeClr w14:val="tx1"/>
                  </w14:solidFill>
                </w14:textFill>
              </w:rPr>
              <w:t>　　年　　月　　日</w:t>
            </w: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1.招标文件接受合同分包且投标人拟将合同分包的，应提供本协议；否则无须提供。</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2.本协议由委托代理人签字或盖章的，应按照本章载明的格式提供“单位授权书”。</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3.在以合同分包形式落实中小企业预留份额项目中，投标人除了要提供《中小企业声明函》，还需提供本协议。</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二-7其他资格证明文件（若有）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二-7-①招标文件规定的其他资格证明文件（若有）</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除招标文件另有规定外，招标文件要求提交的除前述资格证明文件外的其他资格证明文件（若有）加盖投标人的单位公章后应在此项下提交。</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三、投标保证金</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1、在此项下提交的“投标保证金”材料可使用转账凭证复印件或从福建省政府采购网上公开信息系统中下载的有关原始页面的打印件。</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2、投标保证金是否已提交的认定按照招标文件第三章规定执行。</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封面格式(报价部分)</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福建省政府采购投标文件</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（报价部分）</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（填写正本或副本）</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所投采购包：（由投标人填写）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投标人：（填写“全称”）</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（由投标人填写）年（由投标人填写）月</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索引</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一、开标（报价）一览表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二、投标（响应）报价明细表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三、招标文件规定的价格扣除证明材料（若有）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开标（报价）一览表</w:t>
      </w:r>
    </w:p>
    <w:p>
      <w:pPr>
        <w:pStyle w:val="4"/>
        <w:ind w:right="165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采购包：1(气相色谱仪)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投标人（供应商）名称：</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报价内容</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响应报价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气相色谱仪</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2700000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「汇总引用」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投标（响应）报价明细表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采购包：气相色谱仪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投标人名称：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气相色谱仪</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货物名称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规格型号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品牌</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制造商名称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产地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单价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数量</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计量单位</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气相色谱仪</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2700000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{=总价/数量}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5.0000</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套</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  元</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开标（报价）一览表</w:t>
      </w:r>
    </w:p>
    <w:p>
      <w:pPr>
        <w:pStyle w:val="4"/>
        <w:ind w:right="165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采购包：2(高效液相色谱仪)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投标人（供应商）名称：</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报价内容</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响应报价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高效液相色谱仪</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1200000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「汇总引用」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投标（响应）报价明细表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采购包：高效液相色谱仪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投标人名称：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高效液相色谱仪</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货物名称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规格型号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品牌</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制造商名称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产地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单价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数量</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计量单位</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高效液相色谱仪</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1200000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{=总价/数量}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3.0000</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套</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  元</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开标（报价）一览表</w:t>
      </w:r>
    </w:p>
    <w:p>
      <w:pPr>
        <w:pStyle w:val="4"/>
        <w:ind w:right="165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采购包：3(超高效液相色谱仪)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投标人（供应商）名称：</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报价内容</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响应报价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超高效液相色谱仪</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1200000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「汇总引用」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投标（响应）报价明细表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采购包：超高效液相色谱仪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投标人名称：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超高效液相色谱仪</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货物名称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规格型号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品牌</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制造商名称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产地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单价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数量</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计量单位</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超高效液相色谱仪</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1200000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{=总价/数量}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2.0000</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套</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  元</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开标（报价）一览表</w:t>
      </w:r>
    </w:p>
    <w:p>
      <w:pPr>
        <w:pStyle w:val="4"/>
        <w:ind w:right="165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采购包：4(离子色谱仪)</w:t>
      </w:r>
    </w:p>
    <w:p>
      <w:pPr>
        <w:pStyle w:val="4"/>
        <w:spacing w:line="375" w:lineRule="exact"/>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投标人（供应商）名称：</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报价内容</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响应报价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离子色谱仪</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750000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「汇总引用」  元</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jc w:val="left"/>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投标（响应）报价明细表</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项目编号：[350201]wx[GK]2026031</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项目名称：厦门市产品质量监督检验院重点工业产品检验检测设备更新项目（色谱仪）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采购包：离子色谱仪</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投标人名称：</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离子色谱仪</w:t>
      </w:r>
    </w:p>
    <w:p>
      <w:pPr>
        <w:pStyle w:val="4"/>
        <w:jc w:val="left"/>
        <w:rPr>
          <w:color w:val="000000" w:themeColor="text1"/>
          <w14:textFill>
            <w14:solidFill>
              <w14:schemeClr w14:val="tx1"/>
            </w14:solidFill>
          </w14:textFill>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816"/>
        <w:gridCol w:w="755"/>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货物名称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规格型号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品牌</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制造商名称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产地</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最高限价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单价</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数量</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计量单位</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离子色谱仪</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750000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{=总价/数量}  元</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1.0000</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套</w:t>
            </w:r>
          </w:p>
        </w:tc>
        <w:tc>
          <w:tcPr>
            <w:tcW w:w="755"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{供应商响应}  元</w:t>
            </w: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合计：</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备注：无</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时间：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签章：                     </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三、招标文件规定的价格扣除证明材料（若有）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三-1优先类节能产品、环境标志产品价格扣除证明材料（若有）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三-1-①优先类节能产品、环境标志产品统计表（价格扣除适用，若有）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w:t>
      </w:r>
      <w:r>
        <w:rPr>
          <w:rFonts w:ascii="仿宋_GB2312" w:hAnsi="仿宋_GB2312" w:eastAsia="仿宋_GB2312" w:cs="仿宋_GB2312"/>
          <w:color w:val="000000" w:themeColor="text1"/>
          <w:u w:val="single"/>
          <w14:textFill>
            <w14:solidFill>
              <w14:schemeClr w14:val="tx1"/>
            </w14:solidFill>
          </w14:textFill>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color w:val="000000" w:themeColor="text1"/>
                <w14:textFill>
                  <w14:solidFill>
                    <w14:schemeClr w14:val="tx1"/>
                  </w14:solidFill>
                </w14:textFill>
              </w:rPr>
            </w:pPr>
          </w:p>
        </w:tc>
        <w:tc>
          <w:tcPr>
            <w:tcW w:w="7122" w:type="dxa"/>
            <w:gridSpan w:val="4"/>
          </w:tcPr>
          <w:p>
            <w:pPr>
              <w:pStyle w:val="4"/>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品目号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产品名称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rPr>
                <w:color w:val="000000" w:themeColor="text1"/>
                <w14:textFill>
                  <w14:solidFill>
                    <w14:schemeClr w14:val="tx1"/>
                  </w14:solidFill>
                </w14:textFill>
              </w:rPr>
            </w:pP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pPr>
              <w:rPr>
                <w:color w:val="000000" w:themeColor="text1"/>
                <w14:textFill>
                  <w14:solidFill>
                    <w14:schemeClr w14:val="tx1"/>
                  </w14:solidFill>
                </w14:textFill>
              </w:rPr>
            </w:pP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jc w:val="left"/>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w:t>
            </w:r>
          </w:p>
        </w:tc>
        <w:tc>
          <w:tcPr>
            <w:tcW w:w="3561" w:type="dxa"/>
            <w:gridSpan w:val="3"/>
          </w:tcPr>
          <w:p>
            <w:pPr>
              <w:pStyle w:val="4"/>
              <w:jc w:val="left"/>
              <w:rPr>
                <w:color w:val="000000" w:themeColor="text1"/>
                <w14:textFill>
                  <w14:solidFill>
                    <w14:schemeClr w14:val="tx1"/>
                  </w14:solidFill>
                </w14:textFill>
              </w:rPr>
            </w:pPr>
          </w:p>
        </w:tc>
      </w:tr>
    </w:tbl>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1、对节能、环境标志产品计算价格扣除时，只依据电子投标文件“投标（响应）报价明细表”以及“优先类节能产品、环境标志产品证明材料（价格扣除适用，若有）”。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2、本表以采购包为单位，不同采购包请分别填写；同一采购包请按照其品目号顺序分别填写。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3、具体统计、计算：</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3.1同一品目中各认证证书不重复计算价格扣除。</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3.2计算结果若除不尽，可四舍五入保留到小数点后两位。</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3.3投标人(供应商)按照采购文件要求认真统计、计算。</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3.4若无节能、环境标志产品，不填写本表。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3.5强制类节能产品不享受价格扣除。</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三-1-②优先类节能产品、环境标志产品证明材料（价格扣除适用，若有）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三-2小型、微型企业产品等价格扣除证明材料（若有）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三-2-①中小企业声明函（价格扣除适用，若有）</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中小企业声明函（货物）</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本公司（联合体）郑重声明，根据《政府采购促进中小企业发展管理办法》（财库﹝2020﹞46 号）的规定，本公司（联合体）参加</w:t>
      </w:r>
      <w:r>
        <w:rPr>
          <w:rFonts w:ascii="仿宋_GB2312" w:hAnsi="仿宋_GB2312" w:eastAsia="仿宋_GB2312" w:cs="仿宋_GB2312"/>
          <w:color w:val="000000" w:themeColor="text1"/>
          <w:u w:val="single"/>
          <w14:textFill>
            <w14:solidFill>
              <w14:schemeClr w14:val="tx1"/>
            </w14:solidFill>
          </w14:textFill>
        </w:rPr>
        <w:t>（单位名称）</w:t>
      </w:r>
      <w:r>
        <w:rPr>
          <w:rFonts w:ascii="仿宋_GB2312" w:hAnsi="仿宋_GB2312" w:eastAsia="仿宋_GB2312" w:cs="仿宋_GB2312"/>
          <w:color w:val="000000" w:themeColor="text1"/>
          <w14:textFill>
            <w14:solidFill>
              <w14:schemeClr w14:val="tx1"/>
            </w14:solidFill>
          </w14:textFill>
        </w:rPr>
        <w:t>的</w:t>
      </w:r>
      <w:r>
        <w:rPr>
          <w:rFonts w:ascii="仿宋_GB2312" w:hAnsi="仿宋_GB2312" w:eastAsia="仿宋_GB2312" w:cs="仿宋_GB2312"/>
          <w:color w:val="000000" w:themeColor="text1"/>
          <w:u w:val="single"/>
          <w14:textFill>
            <w14:solidFill>
              <w14:schemeClr w14:val="tx1"/>
            </w14:solidFill>
          </w14:textFill>
        </w:rPr>
        <w:t>（项目名称）</w:t>
      </w:r>
      <w:r>
        <w:rPr>
          <w:rFonts w:ascii="仿宋_GB2312" w:hAnsi="仿宋_GB2312" w:eastAsia="仿宋_GB2312" w:cs="仿宋_GB2312"/>
          <w:color w:val="000000" w:themeColor="text1"/>
          <w14:textFill>
            <w14:solidFill>
              <w14:schemeClr w14:val="tx1"/>
            </w14:solidFill>
          </w14:textFill>
        </w:rPr>
        <w:t>采购活动，提供的货物全部由符合政策要求的中小企业制造。相关企业（含联合体中的中小企业、签订分包意向协议的中小企业）的具体情况如下：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r>
        <w:rPr>
          <w:rFonts w:ascii="仿宋_GB2312" w:hAnsi="仿宋_GB2312" w:eastAsia="仿宋_GB2312" w:cs="仿宋_GB2312"/>
          <w:color w:val="000000" w:themeColor="text1"/>
          <w:u w:val="single"/>
          <w14:textFill>
            <w14:solidFill>
              <w14:schemeClr w14:val="tx1"/>
            </w14:solidFill>
          </w14:textFill>
        </w:rPr>
        <w:t xml:space="preserve"> （标的名称） </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行业；制造商为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w:t>
      </w:r>
      <w:r>
        <w:rPr>
          <w:rFonts w:ascii="仿宋_GB2312" w:hAnsi="仿宋_GB2312" w:eastAsia="仿宋_GB2312" w:cs="仿宋_GB2312"/>
          <w:color w:val="000000" w:themeColor="text1"/>
          <w:sz w:val="21"/>
          <w:vertAlign w:val="superscript"/>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ascii="仿宋_GB2312" w:hAnsi="仿宋_GB2312" w:eastAsia="仿宋_GB2312" w:cs="仿宋_GB2312"/>
          <w:color w:val="000000" w:themeColor="text1"/>
          <w:u w:val="single"/>
          <w14:textFill>
            <w14:solidFill>
              <w14:schemeClr w14:val="tx1"/>
            </w14:solidFill>
          </w14:textFill>
        </w:rPr>
        <w:t xml:space="preserve"> （标的名称） </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行业；制造商为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以上企业，不属于大企业的分支机构，不存在控股股东为大企业的情形，也不存在与大企业的负责人为同一人的情形。</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本企业对上述声明内容的真实性负责。如有虚假，将依法承担相应责任。</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1、从业人员、营业收入、资产总额填报上一年度数据，无上一年度数据的新成立企业可不填报。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中小企业声明函（工程、服务）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本公司（联合体）郑重声明，根据《政府采购促进中小企业发展管理办法》（财库﹝2020﹞46 号）的规定，本公司（联合体）参加</w:t>
      </w:r>
      <w:r>
        <w:rPr>
          <w:rFonts w:ascii="仿宋_GB2312" w:hAnsi="仿宋_GB2312" w:eastAsia="仿宋_GB2312" w:cs="仿宋_GB2312"/>
          <w:color w:val="000000" w:themeColor="text1"/>
          <w:u w:val="single"/>
          <w14:textFill>
            <w14:solidFill>
              <w14:schemeClr w14:val="tx1"/>
            </w14:solidFill>
          </w14:textFill>
        </w:rPr>
        <w:t>（单位名称）</w:t>
      </w:r>
      <w:r>
        <w:rPr>
          <w:rFonts w:ascii="仿宋_GB2312" w:hAnsi="仿宋_GB2312" w:eastAsia="仿宋_GB2312" w:cs="仿宋_GB2312"/>
          <w:color w:val="000000" w:themeColor="text1"/>
          <w14:textFill>
            <w14:solidFill>
              <w14:schemeClr w14:val="tx1"/>
            </w14:solidFill>
          </w14:textFill>
        </w:rPr>
        <w:t>的</w:t>
      </w:r>
      <w:r>
        <w:rPr>
          <w:rFonts w:ascii="仿宋_GB2312" w:hAnsi="仿宋_GB2312" w:eastAsia="仿宋_GB2312" w:cs="仿宋_GB2312"/>
          <w:color w:val="000000" w:themeColor="text1"/>
          <w:u w:val="single"/>
          <w14:textFill>
            <w14:solidFill>
              <w14:schemeClr w14:val="tx1"/>
            </w14:solidFill>
          </w14:textFill>
        </w:rPr>
        <w:t>（项目名称）</w:t>
      </w:r>
      <w:r>
        <w:rPr>
          <w:rFonts w:ascii="仿宋_GB2312" w:hAnsi="仿宋_GB2312" w:eastAsia="仿宋_GB2312" w:cs="仿宋_GB2312"/>
          <w:color w:val="000000" w:themeColor="text1"/>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r>
        <w:rPr>
          <w:rFonts w:ascii="仿宋_GB2312" w:hAnsi="仿宋_GB2312" w:eastAsia="仿宋_GB2312" w:cs="仿宋_GB2312"/>
          <w:color w:val="000000" w:themeColor="text1"/>
          <w:u w:val="single"/>
          <w14:textFill>
            <w14:solidFill>
              <w14:schemeClr w14:val="tx1"/>
            </w14:solidFill>
          </w14:textFill>
        </w:rPr>
        <w:t>（标的名称）</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；承建（承接）企业为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w:t>
      </w:r>
      <w:r>
        <w:rPr>
          <w:rFonts w:ascii="仿宋_GB2312" w:hAnsi="仿宋_GB2312" w:eastAsia="仿宋_GB2312" w:cs="仿宋_GB2312"/>
          <w:color w:val="000000" w:themeColor="text1"/>
          <w:sz w:val="21"/>
          <w:vertAlign w:val="superscript"/>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r>
        <w:rPr>
          <w:rFonts w:ascii="仿宋_GB2312" w:hAnsi="仿宋_GB2312" w:eastAsia="仿宋_GB2312" w:cs="仿宋_GB2312"/>
          <w:color w:val="000000" w:themeColor="text1"/>
          <w:u w:val="single"/>
          <w14:textFill>
            <w14:solidFill>
              <w14:schemeClr w14:val="tx1"/>
            </w14:solidFill>
          </w14:textFill>
        </w:rPr>
        <w:t>（标的名称）</w:t>
      </w:r>
      <w:r>
        <w:rPr>
          <w:rFonts w:ascii="仿宋_GB2312" w:hAnsi="仿宋_GB2312" w:eastAsia="仿宋_GB2312" w:cs="仿宋_GB2312"/>
          <w:color w:val="000000" w:themeColor="text1"/>
          <w14:textFill>
            <w14:solidFill>
              <w14:schemeClr w14:val="tx1"/>
            </w14:solidFill>
          </w14:textFill>
        </w:rPr>
        <w:t>，属于</w:t>
      </w:r>
      <w:r>
        <w:rPr>
          <w:rFonts w:ascii="仿宋_GB2312" w:hAnsi="仿宋_GB2312" w:eastAsia="仿宋_GB2312" w:cs="仿宋_GB2312"/>
          <w:color w:val="000000" w:themeColor="text1"/>
          <w:u w:val="single"/>
          <w14:textFill>
            <w14:solidFill>
              <w14:schemeClr w14:val="tx1"/>
            </w14:solidFill>
          </w14:textFill>
        </w:rPr>
        <w:t>（采购文件中明确的所属行业）</w:t>
      </w:r>
      <w:r>
        <w:rPr>
          <w:rFonts w:ascii="仿宋_GB2312" w:hAnsi="仿宋_GB2312" w:eastAsia="仿宋_GB2312" w:cs="仿宋_GB2312"/>
          <w:color w:val="000000" w:themeColor="text1"/>
          <w14:textFill>
            <w14:solidFill>
              <w14:schemeClr w14:val="tx1"/>
            </w14:solidFill>
          </w14:textFill>
        </w:rPr>
        <w:t>；承建（承接）企业为</w:t>
      </w:r>
      <w:r>
        <w:rPr>
          <w:rFonts w:ascii="仿宋_GB2312" w:hAnsi="仿宋_GB2312" w:eastAsia="仿宋_GB2312" w:cs="仿宋_GB2312"/>
          <w:color w:val="000000" w:themeColor="text1"/>
          <w:u w:val="single"/>
          <w14:textFill>
            <w14:solidFill>
              <w14:schemeClr w14:val="tx1"/>
            </w14:solidFill>
          </w14:textFill>
        </w:rPr>
        <w:t>（企业名称）</w:t>
      </w:r>
      <w:r>
        <w:rPr>
          <w:rFonts w:ascii="仿宋_GB2312" w:hAnsi="仿宋_GB2312" w:eastAsia="仿宋_GB2312" w:cs="仿宋_GB2312"/>
          <w:color w:val="000000" w:themeColor="text1"/>
          <w14:textFill>
            <w14:solidFill>
              <w14:schemeClr w14:val="tx1"/>
            </w14:solidFill>
          </w14:textFill>
        </w:rPr>
        <w:t>，从业人员</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人，营业收入为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万元，资产总额为</w:t>
      </w:r>
      <w:r>
        <w:rPr>
          <w:rFonts w:ascii="仿宋_GB2312" w:hAnsi="仿宋_GB2312" w:eastAsia="仿宋_GB2312" w:cs="仿宋_GB2312"/>
          <w:color w:val="000000" w:themeColor="text1"/>
          <w:u w:val="single"/>
          <w14:textFill>
            <w14:solidFill>
              <w14:schemeClr w14:val="tx1"/>
            </w14:solidFill>
          </w14:textFill>
        </w:rPr>
        <w:t>　　　　　</w:t>
      </w:r>
      <w:r>
        <w:rPr>
          <w:rFonts w:ascii="仿宋_GB2312" w:hAnsi="仿宋_GB2312" w:eastAsia="仿宋_GB2312" w:cs="仿宋_GB2312"/>
          <w:color w:val="000000" w:themeColor="text1"/>
          <w14:textFill>
            <w14:solidFill>
              <w14:schemeClr w14:val="tx1"/>
            </w14:solidFill>
          </w14:textFill>
        </w:rPr>
        <w:t>万元，属于</w:t>
      </w:r>
      <w:r>
        <w:rPr>
          <w:rFonts w:ascii="仿宋_GB2312" w:hAnsi="仿宋_GB2312" w:eastAsia="仿宋_GB2312" w:cs="仿宋_GB2312"/>
          <w:color w:val="000000" w:themeColor="text1"/>
          <w:u w:val="single"/>
          <w14:textFill>
            <w14:solidFill>
              <w14:schemeClr w14:val="tx1"/>
            </w14:solidFill>
          </w14:textFill>
        </w:rPr>
        <w:t>（中型企业、小型企业、微型企业）</w:t>
      </w: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以上企业，不属于大企业的分支机构，不存在控股股东为大企业的情形，也不存在与大企业的负责人为同一人的情形。</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本企业对上述声明内容的真实性负责。如有虚假，将依法承担相应责任。</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1、从业人员、营业收入、资产总额填报上一年度数据，无上一年度数据的新成立企业可不填报。</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三-2-②小型、微型企业等证明材料（价格扣除适用，若有）</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1、投标人为监狱企业的，根据其提供的由省级以上监狱管理局、戒毒管理局（含新疆生产建设兵团）出具的属于监狱企业的证明文件进行认定，监狱企业视同小型、微型企业。</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附：</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残疾人福利性单位声明函（价格扣除适用，若有）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）由本投标人承建的（填写“所投采购包、品目号”）工程</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）由本投标人承接的（填写“所投采购包、品目号”）服务；</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本投标人对上述声明的真实性负责。如有虚假，将依法承担相应责任。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1、请投标人按照实际情况编制填写本声明函，并在相应的（）中打“√”。</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2、若《残疾人福利性单位声明函》内容不真实，视为提供虚假材料。</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附：</w:t>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监狱企业证明材料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投标人为监狱企业，提供本单位制造的货物（承接的服务），并在电子投标文件中提供省级以上监狱管理局、戒毒管理局（含新疆生产建设兵团）出具的属于监狱企业的证明文件。</w:t>
      </w:r>
    </w:p>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3"/>
        <w:rPr>
          <w:color w:val="000000" w:themeColor="text1"/>
          <w14:textFill>
            <w14:solidFill>
              <w14:schemeClr w14:val="tx1"/>
            </w14:solidFill>
          </w14:textFill>
        </w:rPr>
      </w:pPr>
      <w:r>
        <w:rPr>
          <w:rFonts w:ascii="仿宋_GB2312" w:hAnsi="仿宋_GB2312" w:eastAsia="仿宋_GB2312" w:cs="仿宋_GB2312"/>
          <w:b/>
          <w:color w:val="000000" w:themeColor="text1"/>
          <w:sz w:val="24"/>
          <w14:textFill>
            <w14:solidFill>
              <w14:schemeClr w14:val="tx1"/>
            </w14:solidFill>
          </w14:textFill>
        </w:rPr>
        <w:t>三-3招标文件规定的其他价格扣除证明材料（若有）</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若投标人可享受招标文件规定的除“节能（非强制类）、环境标志产品价格扣除”及“小型、微型企业产品等价格扣除”外的其他价格扣除优惠，则投标人应按照招标文件要求提供相应证明材料。</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封面格式(技术商务部分)</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福建省政府采购投标文件</w:t>
      </w:r>
    </w:p>
    <w:p>
      <w:pPr>
        <w:pStyle w:val="4"/>
        <w:jc w:val="center"/>
        <w:outlineLvl w:val="0"/>
        <w:rPr>
          <w:color w:val="000000" w:themeColor="text1"/>
          <w14:textFill>
            <w14:solidFill>
              <w14:schemeClr w14:val="tx1"/>
            </w14:solidFill>
          </w14:textFill>
        </w:rPr>
      </w:pPr>
      <w:r>
        <w:rPr>
          <w:rFonts w:ascii="仿宋_GB2312" w:hAnsi="仿宋_GB2312" w:eastAsia="仿宋_GB2312" w:cs="仿宋_GB2312"/>
          <w:b/>
          <w:color w:val="000000" w:themeColor="text1"/>
          <w:sz w:val="48"/>
          <w14:textFill>
            <w14:solidFill>
              <w14:schemeClr w14:val="tx1"/>
            </w14:solidFill>
          </w14:textFill>
        </w:rPr>
        <w:t>（技术商务部分）</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1"/>
        <w:rPr>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（填写正本或副本）</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所投采购包：（由投标人填写）</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投标人：（填写“全称”）</w:t>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（由投标人填写）年（由投标人填写）月</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索引</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一、标的说明一览表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二、技术和服务要求响应表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三、商务条件响应表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四、投标人提交的其他资料（若有）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技术商务部分中不得出现报价部分的全部或部分的投标报价信息（或组成资料），否则符合性审查不合格。</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一、标的说明一览表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w:t>
      </w:r>
      <w:r>
        <w:rPr>
          <w:rFonts w:ascii="仿宋_GB2312" w:hAnsi="仿宋_GB2312" w:eastAsia="仿宋_GB2312" w:cs="仿宋_GB2312"/>
          <w:color w:val="000000" w:themeColor="text1"/>
          <w:u w:val="single"/>
          <w14:textFill>
            <w14:solidFill>
              <w14:schemeClr w14:val="tx1"/>
            </w14:solidFill>
          </w14:textFill>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品目号</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投标标的</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数量</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规格</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来源地</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color w:val="000000" w:themeColor="text1"/>
                <w14:textFill>
                  <w14:solidFill>
                    <w14:schemeClr w14:val="tx1"/>
                  </w14:solidFill>
                </w14:textFill>
              </w:rPr>
            </w:pPr>
          </w:p>
        </w:tc>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c>
          <w:tcPr>
            <w:tcW w:w="1187" w:type="dxa"/>
          </w:tcPr>
          <w:p>
            <w:pPr>
              <w:rPr>
                <w:color w:val="000000" w:themeColor="text1"/>
                <w14:textFill>
                  <w14:solidFill>
                    <w14:schemeClr w14:val="tx1"/>
                  </w14:solidFill>
                </w14:textFill>
              </w:rPr>
            </w:pP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1、本表应按照下列规定填写：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1.1“采购包”、“品目号”、“投标标的”及“数量”应与招标文件《采购标的一览表》中的有关内容（“采购包”、“品目号”、“采购标的”及“数量”）保持一致。</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3、电子投标文件中涉及“投标标的”、“数量”、“规格”、“来源地”的内容若不一致，以投标客户端的投标（响应）报价明细表为准。</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二、技术和服务要求响应表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w:t>
      </w:r>
      <w:r>
        <w:rPr>
          <w:rFonts w:ascii="仿宋_GB2312" w:hAnsi="仿宋_GB2312" w:eastAsia="仿宋_GB2312" w:cs="仿宋_GB2312"/>
          <w:color w:val="000000" w:themeColor="text1"/>
          <w:u w:val="single"/>
          <w14:textFill>
            <w14:solidFill>
              <w14:schemeClr w14:val="tx1"/>
            </w14:solidFill>
          </w14:textFill>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品目号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技术和服务要求</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投标响应</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000000" w:themeColor="text1"/>
                <w14:textFill>
                  <w14:solidFill>
                    <w14:schemeClr w14:val="tx1"/>
                  </w14:solidFill>
                </w14:textFill>
              </w:rPr>
            </w:pP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1、本表应按照下列规定填写：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1.1“技术和服务要求”项下填写的内容应与招标文件第五章“技术和服务要求”的内容保持一致。</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1.3“是否偏离及说明”项下应按下列规定填写：优于的，填写“正偏离”；符合的，填写“无偏离”；低于的，填写“负偏离”。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三、商务条件响应表</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项目编号：</w:t>
      </w:r>
      <w:r>
        <w:rPr>
          <w:rFonts w:ascii="仿宋_GB2312" w:hAnsi="仿宋_GB2312" w:eastAsia="仿宋_GB2312" w:cs="仿宋_GB2312"/>
          <w:color w:val="000000" w:themeColor="text1"/>
          <w:u w:val="single"/>
          <w14:textFill>
            <w14:solidFill>
              <w14:schemeClr w14:val="tx1"/>
            </w14:solidFill>
          </w14:textFill>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品目号</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商务条件</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投标响应</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vMerge w:val="continue"/>
          </w:tcPr>
          <w:p>
            <w:pPr>
              <w:rPr>
                <w:color w:val="000000" w:themeColor="text1"/>
                <w14:textFill>
                  <w14:solidFill>
                    <w14:schemeClr w14:val="tx1"/>
                  </w14:solidFill>
                </w14:textFill>
              </w:rPr>
            </w:pPr>
          </w:p>
        </w:tc>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c>
          <w:tcPr>
            <w:tcW w:w="1661" w:type="dxa"/>
          </w:tcPr>
          <w:p>
            <w:pPr>
              <w:rPr>
                <w:color w:val="000000" w:themeColor="text1"/>
                <w14:textFill>
                  <w14:solidFill>
                    <w14:schemeClr w14:val="tx1"/>
                  </w14:solidFill>
                </w14:textFill>
              </w:rPr>
            </w:pPr>
          </w:p>
        </w:tc>
      </w:tr>
    </w:tbl>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※注意：</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1、本表应按照下列规定填写：</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1.1“商务条件”项下填写的内容应与招标文件第五章“商务条件”的内容保持一致。</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1.2“投标响应”项下应填写具体的响应内容并与“商务条件”项下填写的内容逐项对应；对“商务条件”项下涉及“≥或＞”、“≤或＜”及某个区间值范围内的内容，应填写具体的数值。</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1.3“是否偏离及说明”项下应按下列规定填写：优于的，填写“正偏离”；符合的，填写“无偏离”；低于的，填写“负偏离”。</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投标人：</w:t>
      </w:r>
      <w:r>
        <w:rPr>
          <w:rFonts w:ascii="仿宋_GB2312" w:hAnsi="仿宋_GB2312" w:eastAsia="仿宋_GB2312" w:cs="仿宋_GB2312"/>
          <w:color w:val="000000" w:themeColor="text1"/>
          <w:u w:val="single"/>
          <w14:textFill>
            <w14:solidFill>
              <w14:schemeClr w14:val="tx1"/>
            </w14:solidFill>
          </w14:textFill>
        </w:rPr>
        <w:t>（全称并加盖单位公章）</w:t>
      </w:r>
    </w:p>
    <w:p>
      <w:pPr>
        <w:pStyle w:val="4"/>
        <w:ind w:firstLine="480"/>
        <w:jc w:val="righ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日期：</w:t>
      </w:r>
      <w:r>
        <w:rPr>
          <w:rFonts w:ascii="仿宋_GB2312" w:hAnsi="仿宋_GB2312" w:eastAsia="仿宋_GB2312" w:cs="仿宋_GB2312"/>
          <w:color w:val="000000" w:themeColor="text1"/>
          <w:u w:val="single"/>
          <w14:textFill>
            <w14:solidFill>
              <w14:schemeClr w14:val="tx1"/>
            </w14:solidFill>
          </w14:textFill>
        </w:rPr>
        <w:t>　　年　　月　　日</w:t>
      </w:r>
    </w:p>
    <w:p>
      <w:pPr>
        <w:pStyle w:val="4"/>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pPr>
        <w:pStyle w:val="4"/>
        <w:jc w:val="center"/>
        <w:outlineLvl w:val="2"/>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四、投标人提交的其他资料（若有）</w:t>
      </w:r>
    </w:p>
    <w:p>
      <w:pPr>
        <w:pStyle w:val="4"/>
        <w:ind w:firstLine="480"/>
        <w:jc w:val="center"/>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编制说明</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1、招标文件要求提交的除“资格及资信证明部分”、“报价部分”外的其他证明材料或资料加盖投标人的单位公章后应在此项下提交。</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2、招标文件要求投标人提供方案（包括但不限于：组织、实施、技术、服务方案等）的，投标人应在此项下提交。</w:t>
      </w:r>
    </w:p>
    <w:p>
      <w:pPr>
        <w:pStyle w:val="4"/>
        <w:ind w:firstLine="480"/>
        <w:jc w:val="left"/>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3、除招标文件另有规定外，投标人认为需要提交的其他证明材料或资料加盖投标人的单位公章后应在此项下提交。</w:t>
      </w:r>
    </w:p>
    <w:p>
      <w:pPr>
        <w:pStyle w:val="4"/>
        <w:rPr>
          <w:rFonts w:hint="eastAsia"/>
          <w:color w:val="000000" w:themeColor="text1"/>
          <w:lang w:val="en-US" w:eastAsia="zh-Han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3FEF4E4F"/>
    <w:rsid w:val="407F150E"/>
    <w:rsid w:val="53B52B8D"/>
    <w:rsid w:val="6DD98250"/>
    <w:rsid w:val="767781DC"/>
    <w:rsid w:val="77F79321"/>
    <w:rsid w:val="7B73E46E"/>
    <w:rsid w:val="A7FFD6FF"/>
    <w:rsid w:val="BBBF7779"/>
    <w:rsid w:val="FE6B8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154</Pages>
  <Words>6856</Words>
  <Characters>7563</Characters>
  <Lines>0</Lines>
  <Paragraphs>0</Paragraphs>
  <TotalTime>0</TotalTime>
  <ScaleCrop>false</ScaleCrop>
  <LinksUpToDate>false</LinksUpToDate>
  <CharactersWithSpaces>7631</CharactersWithSpaces>
  <Application>WPS Office_12.8.2.15107_F1E327BC-269C-435d-A152-05C5408002CA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2022-04-11T03:57:00Z</dcterms:created>
  <dc:creator>administrator</dc:creator>
  <cp:lastModifiedBy>xmadmin</cp:lastModifiedBy>
  <dcterms:modified xsi:type="dcterms:W3CDTF">2026-07-27T11:47:57Z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2052-12.8.2.15107</vt:lpwstr>
  </property>
  <property fmtid="{D5CDD505-2E9C-101B-9397-08002B2CF9AE}" pid="3" name="ICV">
    <vt:lpwstr>1DF11BE3B0614F7593793AC4C15C213C_12</vt:lpwstr>
  </property>
  <property fmtid="{D5CDD505-2E9C-101B-9397-08002B2CF9AE}" pid="4" name="KSOTemplateDocerSaveRecord">
    <vt:lpwstr>eyJoZGlkIjoiMWI0ODZlZTFiZGFiY2M1YjRiMTQ0MjE3NDc3MDcwMDYifQ==</vt:lpwstr>
  </property>
</Properties>
</file>