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default" w:ascii="仿宋" w:hAnsi="仿宋" w:eastAsia="仿宋" w:cs="宋体"/>
          <w:b/>
          <w:bCs/>
          <w:kern w:val="0"/>
          <w:sz w:val="30"/>
          <w:szCs w:val="30"/>
          <w:lang w:val="en-US" w:eastAsia="zh-CN"/>
        </w:rPr>
      </w:pPr>
      <w:r>
        <w:rPr>
          <w:rFonts w:hint="eastAsia" w:ascii="仿宋" w:hAnsi="仿宋" w:eastAsia="仿宋" w:cs="宋体"/>
          <w:b/>
          <w:bCs/>
          <w:kern w:val="0"/>
          <w:sz w:val="30"/>
          <w:szCs w:val="30"/>
          <w:lang w:val="en-US" w:eastAsia="zh-CN"/>
        </w:rPr>
        <w:t>附件</w:t>
      </w:r>
    </w:p>
    <w:p>
      <w:pPr>
        <w:jc w:val="center"/>
        <w:rPr>
          <w:rFonts w:hint="eastAsia" w:ascii="仿宋" w:hAnsi="仿宋" w:eastAsia="仿宋" w:cs="宋体"/>
          <w:b/>
          <w:bCs/>
          <w:kern w:val="0"/>
          <w:sz w:val="30"/>
          <w:szCs w:val="30"/>
          <w:lang w:eastAsia="zh-CN"/>
        </w:rPr>
      </w:pPr>
      <w:r>
        <w:rPr>
          <w:rFonts w:hint="eastAsia" w:ascii="仿宋" w:hAnsi="仿宋" w:eastAsia="仿宋" w:cs="宋体"/>
          <w:b/>
          <w:bCs/>
          <w:kern w:val="0"/>
          <w:sz w:val="30"/>
          <w:szCs w:val="30"/>
          <w:lang w:eastAsia="zh-CN"/>
        </w:rPr>
        <w:t>LED中心办公网WIFI覆盖和综合布线参数要求</w:t>
      </w:r>
    </w:p>
    <w:p>
      <w:pPr>
        <w:rPr>
          <w:rFonts w:hint="eastAsia" w:ascii="仿宋_GB2312" w:hAnsi="仿宋_GB2312" w:eastAsia="仿宋_GB2312" w:cs="仿宋_GB2312"/>
          <w:b/>
          <w:kern w:val="0"/>
          <w:sz w:val="24"/>
        </w:rPr>
      </w:pPr>
      <w:r>
        <w:rPr>
          <w:rFonts w:hint="eastAsia" w:ascii="仿宋_GB2312" w:hAnsi="仿宋_GB2312" w:eastAsia="仿宋_GB2312" w:cs="仿宋_GB2312"/>
          <w:b/>
          <w:color w:val="000000"/>
          <w:sz w:val="24"/>
        </w:rPr>
        <w:t>各位</w:t>
      </w:r>
      <w:r>
        <w:rPr>
          <w:rFonts w:hint="eastAsia" w:ascii="仿宋_GB2312" w:hAnsi="仿宋_GB2312" w:eastAsia="仿宋_GB2312" w:cs="仿宋_GB2312"/>
          <w:b/>
          <w:color w:val="000000"/>
          <w:sz w:val="24"/>
          <w:lang w:eastAsia="zh-CN"/>
        </w:rPr>
        <w:t>供应商</w:t>
      </w:r>
      <w:r>
        <w:rPr>
          <w:rFonts w:hint="eastAsia" w:ascii="仿宋_GB2312" w:hAnsi="仿宋_GB2312" w:eastAsia="仿宋_GB2312" w:cs="仿宋_GB2312"/>
          <w:b/>
          <w:kern w:val="0"/>
          <w:sz w:val="24"/>
        </w:rPr>
        <w:t xml:space="preserve">： </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厦门市产品质量监督检验院</w:t>
      </w:r>
      <w:r>
        <w:rPr>
          <w:rFonts w:hint="eastAsia" w:ascii="仿宋_GB2312" w:hAnsi="仿宋_GB2312" w:eastAsia="仿宋_GB2312" w:cs="仿宋_GB2312"/>
          <w:kern w:val="0"/>
          <w:sz w:val="24"/>
          <w:szCs w:val="24"/>
        </w:rPr>
        <w:t>现对</w:t>
      </w:r>
      <w:r>
        <w:rPr>
          <w:rFonts w:hint="eastAsia" w:ascii="仿宋_GB2312" w:hAnsi="仿宋_GB2312" w:eastAsia="仿宋_GB2312" w:cs="仿宋_GB2312"/>
          <w:color w:val="auto"/>
          <w:kern w:val="0"/>
          <w:sz w:val="24"/>
          <w:szCs w:val="24"/>
        </w:rPr>
        <w:t>以下项目编号为</w:t>
      </w:r>
      <w:r>
        <w:rPr>
          <w:rFonts w:hint="eastAsia" w:ascii="仿宋_GB2312" w:hAnsi="仿宋_GB2312" w:eastAsia="仿宋_GB2312" w:cs="仿宋_GB2312"/>
          <w:color w:val="auto"/>
          <w:kern w:val="0"/>
          <w:sz w:val="24"/>
          <w:szCs w:val="24"/>
          <w:u w:val="single"/>
          <w:lang w:eastAsia="zh-CN"/>
        </w:rPr>
        <w:t>XM2026-XJ0001C1</w:t>
      </w:r>
      <w:r>
        <w:rPr>
          <w:rFonts w:hint="eastAsia" w:ascii="仿宋_GB2312" w:hAnsi="仿宋_GB2312" w:eastAsia="仿宋_GB2312" w:cs="仿宋_GB2312"/>
          <w:color w:val="auto"/>
          <w:kern w:val="0"/>
          <w:sz w:val="24"/>
          <w:szCs w:val="24"/>
        </w:rPr>
        <w:t>进行询价采购，现邀请贵单位就以下采购项目内容进行报价。</w:t>
      </w:r>
    </w:p>
    <w:p>
      <w:pPr>
        <w:spacing w:line="360" w:lineRule="auto"/>
        <w:ind w:firstLine="481" w:firstLineChars="200"/>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一、项目内容</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（一）项目要求</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1、质量要求：供方提供的转运装置必须为全新出厂的、质量合格的产品，应符合买方所确定的所有技术参数要求。</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2、设备需求清单</w:t>
      </w:r>
    </w:p>
    <w:tbl>
      <w:tblPr>
        <w:tblStyle w:val="10"/>
        <w:tblW w:w="9479" w:type="dxa"/>
        <w:tblInd w:w="0" w:type="dxa"/>
        <w:tblLayout w:type="autofit"/>
        <w:tblCellMar>
          <w:top w:w="0" w:type="dxa"/>
          <w:left w:w="108" w:type="dxa"/>
          <w:bottom w:w="0" w:type="dxa"/>
          <w:right w:w="108" w:type="dxa"/>
        </w:tblCellMar>
      </w:tblPr>
      <w:tblGrid>
        <w:gridCol w:w="1187"/>
        <w:gridCol w:w="4753"/>
        <w:gridCol w:w="1912"/>
        <w:gridCol w:w="1627"/>
      </w:tblGrid>
      <w:tr>
        <w:tblPrEx>
          <w:tblCellMar>
            <w:top w:w="0" w:type="dxa"/>
            <w:left w:w="108" w:type="dxa"/>
            <w:bottom w:w="0" w:type="dxa"/>
            <w:right w:w="108" w:type="dxa"/>
          </w:tblCellMar>
        </w:tblPrEx>
        <w:trPr>
          <w:trHeight w:val="600" w:hRule="atLeast"/>
        </w:trPr>
        <w:tc>
          <w:tcPr>
            <w:tcW w:w="11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品目号</w:t>
            </w:r>
          </w:p>
        </w:tc>
        <w:tc>
          <w:tcPr>
            <w:tcW w:w="475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货物名称</w:t>
            </w:r>
          </w:p>
        </w:tc>
        <w:tc>
          <w:tcPr>
            <w:tcW w:w="1912"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数量</w:t>
            </w:r>
          </w:p>
        </w:tc>
        <w:tc>
          <w:tcPr>
            <w:tcW w:w="162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tblPrEx>
          <w:tblCellMar>
            <w:top w:w="0" w:type="dxa"/>
            <w:left w:w="108" w:type="dxa"/>
            <w:bottom w:w="0" w:type="dxa"/>
            <w:right w:w="108" w:type="dxa"/>
          </w:tblCellMar>
        </w:tblPrEx>
        <w:trPr>
          <w:trHeight w:val="54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吸顶AP</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627" w:type="dxa"/>
            <w:vMerge w:val="restart"/>
            <w:tcBorders>
              <w:top w:val="nil"/>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含税和安装培训</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509"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无线控制器</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2"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8口POE交换机</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98"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交换机</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14"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超五类非屏蔽配线架</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4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理线架</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79"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1米超五类跳线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21"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2米超五类跳线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7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超五类模块</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67"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网络面版</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79"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六类网线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5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超五类网线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56"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水晶头</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98"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PVC管材</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500</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47"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实施服务</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bl>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3、产品技术要求</w:t>
      </w:r>
    </w:p>
    <w:p>
      <w:pPr>
        <w:pStyle w:val="8"/>
        <w:widowControl/>
        <w:shd w:val="clear" w:color="auto" w:fill="FFFFFF"/>
        <w:spacing w:before="0" w:beforeAutospacing="0" w:after="0" w:afterAutospacing="0" w:line="360" w:lineRule="auto"/>
        <w:rPr>
          <w:rFonts w:hint="eastAsia" w:ascii="仿宋_GB2312" w:hAnsi="仿宋_GB2312" w:eastAsia="仿宋_GB2312" w:cs="仿宋_GB2312"/>
          <w:sz w:val="24"/>
          <w:szCs w:val="24"/>
        </w:rPr>
      </w:pPr>
      <w:bookmarkStart w:id="0" w:name="_Hlk124497789"/>
      <w:r>
        <w:rPr>
          <w:rFonts w:hint="eastAsia" w:ascii="仿宋_GB2312" w:hAnsi="仿宋_GB2312" w:eastAsia="仿宋_GB2312" w:cs="仿宋_GB2312"/>
          <w:b/>
          <w:sz w:val="24"/>
          <w:szCs w:val="24"/>
        </w:rPr>
        <w:t>品目1：</w:t>
      </w:r>
      <w:bookmarkStart w:id="1" w:name="_Hlk62402226"/>
      <w:r>
        <w:rPr>
          <w:rFonts w:hint="eastAsia" w:ascii="仿宋_GB2312" w:hAnsi="仿宋_GB2312" w:eastAsia="仿宋_GB2312" w:cs="仿宋_GB2312"/>
          <w:b/>
          <w:sz w:val="24"/>
          <w:szCs w:val="24"/>
        </w:rPr>
        <w:t>吸顶AP</w:t>
      </w:r>
      <w:r>
        <w:rPr>
          <w:rFonts w:hint="eastAsia" w:ascii="仿宋_GB2312" w:hAnsi="仿宋_GB2312" w:eastAsia="仿宋_GB2312" w:cs="仿宋_GB2312"/>
          <w:sz w:val="24"/>
          <w:szCs w:val="24"/>
        </w:rPr>
        <w:t xml:space="preserve"> </w:t>
      </w:r>
    </w:p>
    <w:p>
      <w:pPr>
        <w:pStyle w:val="8"/>
        <w:widowControl/>
        <w:numPr>
          <w:ilvl w:val="0"/>
          <w:numId w:val="1"/>
        </w:numPr>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吸顶AP,直径180mm,高35mm,上行1个千兆电口,支持802.11ax,2+2双频,整机速率2.975Gbps,最大发射功率23dBm,最大功耗9.4W,智能天线,推荐用户数100个，推荐并发用户数28个(8M每终端),覆盖半径20m</w:t>
      </w:r>
      <w:r>
        <w:rPr>
          <w:rFonts w:hint="eastAsia" w:ascii="仿宋_GB2312" w:hAnsi="仿宋_GB2312" w:eastAsia="仿宋_GB2312" w:cs="仿宋_GB2312"/>
          <w:bCs/>
          <w:sz w:val="24"/>
          <w:szCs w:val="24"/>
          <w:lang w:eastAsia="zh-CN"/>
        </w:rPr>
        <w:t>。</w:t>
      </w: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品目2：无线控制器</w:t>
      </w:r>
    </w:p>
    <w:bookmarkEnd w:id="1"/>
    <w:p>
      <w:pPr>
        <w:pStyle w:val="20"/>
        <w:numPr>
          <w:ilvl w:val="0"/>
          <w:numId w:val="2"/>
        </w:numPr>
        <w:ind w:firstLineChars="0"/>
        <w:rPr>
          <w:rFonts w:hint="eastAsia" w:ascii="仿宋_GB2312" w:hAnsi="仿宋_GB2312" w:eastAsia="仿宋_GB2312" w:cs="仿宋_GB2312"/>
          <w:b/>
          <w:sz w:val="24"/>
          <w:szCs w:val="24"/>
        </w:rPr>
      </w:pPr>
      <w:bookmarkStart w:id="2" w:name="_Hlk62402293"/>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带机量300台,出口带宽2G,2*GE(WAN口),8*GE(LAN口),Mac地址表:2K,自然散热,机架款,支持AC功能,最大可管理64个AP,支持EasyWeb功能</w:t>
      </w:r>
      <w:r>
        <w:rPr>
          <w:rFonts w:hint="eastAsia" w:ascii="仿宋_GB2312" w:hAnsi="仿宋_GB2312" w:eastAsia="仿宋_GB2312" w:cs="仿宋_GB2312"/>
          <w:bCs/>
          <w:sz w:val="24"/>
          <w:szCs w:val="24"/>
          <w:lang w:eastAsia="zh-CN"/>
        </w:rPr>
        <w:t>。</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品目3：8口POE交换机</w:t>
      </w:r>
    </w:p>
    <w:p>
      <w:pPr>
        <w:pStyle w:val="20"/>
        <w:numPr>
          <w:ilvl w:val="0"/>
          <w:numId w:val="3"/>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千兆无管理POE交换机,包转发率13.39Mpps,交换容量18Gbps,9个千兆电,MAC:2K,桌面式,塑料外壳,不支持挂耳,输出功率124W,国标交流适配器</w:t>
      </w:r>
      <w:r>
        <w:rPr>
          <w:rFonts w:hint="eastAsia" w:ascii="仿宋_GB2312" w:hAnsi="仿宋_GB2312" w:eastAsia="仿宋_GB2312" w:cs="仿宋_GB2312"/>
          <w:bCs/>
          <w:sz w:val="24"/>
          <w:szCs w:val="24"/>
          <w:lang w:eastAsia="zh-CN"/>
        </w:rPr>
        <w:t>。</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品目4：交换机</w:t>
      </w:r>
    </w:p>
    <w:p>
      <w:pPr>
        <w:pStyle w:val="20"/>
        <w:numPr>
          <w:ilvl w:val="0"/>
          <w:numId w:val="4"/>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千兆web管理交换机,包转发率92Mpps,交换容量396Gbps,24个千兆电口,2个2.5G 光口，VLAN:32,MAC:8K,,1U标准机架款,金属外壳,,挂耳默认自带</w:t>
      </w:r>
      <w:r>
        <w:rPr>
          <w:rFonts w:hint="eastAsia" w:ascii="仿宋_GB2312" w:hAnsi="仿宋_GB2312" w:eastAsia="仿宋_GB2312" w:cs="仿宋_GB2312"/>
          <w:bCs/>
          <w:sz w:val="24"/>
          <w:szCs w:val="24"/>
          <w:lang w:eastAsia="zh-CN"/>
        </w:rPr>
        <w:t>。</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品目5：超五类非屏蔽配线架</w:t>
      </w:r>
    </w:p>
    <w:p>
      <w:pPr>
        <w:pStyle w:val="20"/>
        <w:numPr>
          <w:ilvl w:val="0"/>
          <w:numId w:val="5"/>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接点阻抗：≤20mΩ；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安装高度：1U（24口）；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铁板材质：冷轧板；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厚度： 1.6mm；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铁板颜色：黑色烤漆；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端接寿命：≥250次，拔插寿命：≥750次；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塑材防火等级：符合UL 94V-0标准；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8.</w:t>
      </w:r>
      <w:r>
        <w:rPr>
          <w:rFonts w:hint="eastAsia" w:ascii="仿宋_GB2312" w:hAnsi="仿宋_GB2312" w:eastAsia="仿宋_GB2312" w:cs="仿宋_GB2312"/>
          <w:bCs/>
          <w:sz w:val="24"/>
          <w:szCs w:val="24"/>
        </w:rPr>
        <w:t>结构：一体式设计，单个端口不可拆装；</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9.</w:t>
      </w:r>
      <w:r>
        <w:rPr>
          <w:rFonts w:hint="eastAsia" w:ascii="仿宋_GB2312" w:hAnsi="仿宋_GB2312" w:eastAsia="仿宋_GB2312" w:cs="仿宋_GB2312"/>
          <w:bCs/>
          <w:sz w:val="24"/>
          <w:szCs w:val="24"/>
        </w:rPr>
        <w:t>产品符合超五类非屏蔽信道标准。</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品目6：理线架</w:t>
      </w:r>
    </w:p>
    <w:p>
      <w:pPr>
        <w:pStyle w:val="20"/>
        <w:numPr>
          <w:ilvl w:val="0"/>
          <w:numId w:val="6"/>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1.材质：防静电喷塑，优质冷轧钢板；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2.颜色：黑色烤漆理线架，1U安装高度19标准理线架，12档24口；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3.结构：独特的穿线槽设计，可与多种规格配线架搭配使用，可配合任何一种标准机柜扣上挡板设计，看不到理线架内部穿插的线缆，外观整洁有序，梳子式机架设计方便跳线管理，保持跳线整齐不缠绕, 有效和安全的管理，使布线系统整洁美观。</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：1米超五类跳线</w:t>
      </w:r>
    </w:p>
    <w:p>
      <w:pPr>
        <w:pStyle w:val="20"/>
        <w:numPr>
          <w:ilvl w:val="0"/>
          <w:numId w:val="7"/>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1.执行标准：YD/T 926.3、ISO/IEC 11801 D级、ANSI/TIA-568.2-D Cat5e；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插头工艺：插头保护装置全透明设计，与水晶头及线缆完美结合、高雅耐看；尾部高韧性长柄支撑、有效缓解跳线在使用过程中的悬挂疲劳，提高使用寿命；免高温注塑工艺，有效改善传输性能；原厂成型测试，七种颜色供选择；</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3.导体：多股绞合铜软导体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4.线规：24AWG；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5.水晶头：前端分线部分较短，减少线对绞距散开长度，确保同一线对两差分信号阻抗稳定、三叉水晶头簧片，降低与线材之间接触电阻；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6.支持带宽：100MHz；</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7.插头接插次数：≥1000次；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8.工作温度: -10°C ~ +60°C；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9.长度：1M；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10.为保证铜缆链路的可靠性、兼容性以及售后维护的统一，网络跳线必须与双绞线同一品牌；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11.产品符合ISO/IEC 11801-1标准信道测试。</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品目8：2米超五类跳线</w:t>
      </w:r>
    </w:p>
    <w:p>
      <w:pPr>
        <w:pStyle w:val="20"/>
        <w:numPr>
          <w:ilvl w:val="0"/>
          <w:numId w:val="8"/>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1.执行标准：YD/T 926.3、ISO/IEC 11801 D级、ANSI/TIA-568.2-D Cat5e；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插头工艺：插头保护装置全透明设计，与水晶头及线缆完美结合、高雅耐看；尾部高韧性长柄支撑、有效缓解跳线在使用过程中的悬挂疲劳，提高使用寿命；免高温注塑工艺，有效改善传输性能；原厂成型测试，七种颜色供选择；</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3.导体：多股绞合铜软导体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4.线规：24AWG；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5.水晶头：前端分线部分较短，减少线对绞距散开长度，确保同一线对两差分信号阻抗稳定、三叉水晶头簧片，降低与线材之间接触电阻；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6.支持带宽：100MHz；</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7.插头接插次数：≥1000次；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8.工作温度   : -10°C ~ +60°C；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9.长度：2M；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10.为保证铜缆链路的可靠性、兼容性以及售后维护的统一，网络跳线必须与双绞线同一品牌；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11.产品符合ISO/IEC 11801-1标准信道测试。</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品目9：超五类模块</w:t>
      </w:r>
    </w:p>
    <w:p>
      <w:pPr>
        <w:pStyle w:val="20"/>
        <w:numPr>
          <w:ilvl w:val="0"/>
          <w:numId w:val="9"/>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1.适用于ISO/IEC 11801 D级和ANSI/TIA-568.2-D Cat 5e级屏蔽链路应用，PCB板采用优化补偿设计方案，余量性能指标更高，免打线端接，方便快捷，外壳360°整体屏蔽，能有效防止电磁干扰（EMI），具有优良的电磁兼容性；模块正面凹版雕刻品牌LOGO；</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2.IDC卡线线规：22-26AWG；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3.线序：支持T568A和T568B两种线序色标；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4.金针：表面镀金50μ，确保触点电气性能稳定；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5.屏蔽结构：360°全屏蔽；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6.屏蔽外壳材质：镀镍锌合金；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7.插拔寿命：1000次以上；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8.导线端接次数：≥250次；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9.使用温度：-40°C～70°C。</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品目10：网络面版</w:t>
      </w:r>
    </w:p>
    <w:p>
      <w:pPr>
        <w:pStyle w:val="20"/>
        <w:numPr>
          <w:ilvl w:val="0"/>
          <w:numId w:val="10"/>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1.外形尺寸：86 X 86 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2.面板材质：ABS工程塑料，结实耐用，所有塑料材料符合UL 94-V0；</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3.设计：面板表面带有图形式标签设计，便于识别数据与语音端口。面板上配备有机玻璃标签框，以求在对标签具有良好保护的同时，便于更换标签；</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4.安装用途：双口，可安装超五类、六类（非屏蔽及屏蔽均可）信息模块，并兼容光纤模块，可安装LC等光纤模块。</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品目11：六类网线</w:t>
      </w:r>
    </w:p>
    <w:p>
      <w:pPr>
        <w:pStyle w:val="20"/>
        <w:numPr>
          <w:ilvl w:val="0"/>
          <w:numId w:val="11"/>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1.线规：23AWG，99.99%无氧铜；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2.铜芯直径：0.57±0.02mm；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3.护套：阻燃PVC；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4.绝缘材质：HDPE；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5.产品满足：YD/T1019 、GB/T 50312、ISO/IEC11801 Class E级和ANSI/TIA-568.2-D Cat6标准，通过布线标准4连接点测试，并具有充裕的NEXT余量；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6.结构：线对十字骨架隔离工艺，内置撕裂线；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7.性能：提供至少不低于250MHz带宽，满足1GBase-T千兆以太网应用，最高支持5GBase-T；支持POE供电、满足WIFI、安防监控、LED照明、传感等物联网应用；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8.产品符合六类非屏蔽信道标准；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9.符合CE和ROHS标准要求。</w:t>
      </w:r>
    </w:p>
    <w:p>
      <w:pPr>
        <w:rPr>
          <w:rFonts w:hint="eastAsia" w:ascii="仿宋_GB2312" w:hAnsi="仿宋_GB2312" w:eastAsia="仿宋_GB2312" w:cs="仿宋_GB2312"/>
          <w:b/>
          <w:sz w:val="24"/>
          <w:szCs w:val="24"/>
        </w:rPr>
      </w:pPr>
    </w:p>
    <w:p>
      <w:pPr>
        <w:rPr>
          <w:rFonts w:hint="eastAsia" w:ascii="仿宋_GB2312" w:hAnsi="仿宋_GB2312" w:eastAsia="仿宋_GB2312" w:cs="仿宋_GB2312"/>
          <w:b/>
          <w:sz w:val="24"/>
          <w:szCs w:val="24"/>
        </w:rPr>
      </w:pP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品目12：超五类网线</w:t>
      </w:r>
    </w:p>
    <w:p>
      <w:pPr>
        <w:pStyle w:val="20"/>
        <w:numPr>
          <w:ilvl w:val="0"/>
          <w:numId w:val="12"/>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1.线规：24AWG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2.铜芯直径：0.5±0.02mm；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3.线径：5.1±0.2mm；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4.护套：阻燃PVC；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5.绝缘材质：HDPE；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6.支持带宽：100MHz，绝缘电阻：&gt;5000MΩ·km；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7.产品符合超五类非屏蔽信道标准。</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品目13：水晶头</w:t>
      </w:r>
    </w:p>
    <w:p>
      <w:pPr>
        <w:pStyle w:val="20"/>
        <w:numPr>
          <w:ilvl w:val="0"/>
          <w:numId w:val="13"/>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1.产品符合：YD/T 926.3、IEC60603、ANSI/TIA-568.2-D、ISO/IEC 11801；</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2.采用高密度聚乙烯，金针采用三叉簧片设计，传输性能更好，更稳定；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3.符合T568A和T568B线序，结构：8P8C；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4.金片：三叉铜合金表面镀金；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5.塑胶壳材料：聚碳酸脂，符合UL-94V-2；</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6.适用芯线直径：0.96mm~1.02mm；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7.插拔次数：≥1000次；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8.拉力测试：≥20N；</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9.介质耐电压：1000VAC/60S；</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10.工作环境温度：-10℃～+60℃。</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品目14：PVC管材</w:t>
      </w:r>
    </w:p>
    <w:p>
      <w:pPr>
        <w:pStyle w:val="20"/>
        <w:numPr>
          <w:ilvl w:val="0"/>
          <w:numId w:val="14"/>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1.执行标准：产品执行中国建筑工业行业标准JG 3050《建筑用绝缘电工套管及配件》；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2.壁厚≥1.1MM；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3.材质：管体主要材质为聚氯乙烯 (PVC)。</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品目15：实施服务</w:t>
      </w:r>
    </w:p>
    <w:p>
      <w:pPr>
        <w:pStyle w:val="20"/>
        <w:numPr>
          <w:ilvl w:val="0"/>
          <w:numId w:val="15"/>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bookmarkEnd w:id="2"/>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实施要求：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1、从二楼机房拉3根线下来一楼窗口，其中2根（1根做无线AP、1根电话线6类网线做为电话用）、1 根做为网络备用线。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二楼4个会议室各安装1个无线AP、1根有线，公共过道增加3个无线AP，每间办公室增加2根有线做为备用（5间办公室共10根有线），每个工位安装一条超五类网线，千兆交换机2台，所有的线都从机房输出不得中间转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3、二楼电话线用旧的网络线不变。</w:t>
      </w:r>
    </w:p>
    <w:p>
      <w:pPr>
        <w:spacing w:line="360" w:lineRule="auto"/>
        <w:rPr>
          <w:b/>
          <w:sz w:val="24"/>
        </w:rPr>
      </w:pPr>
    </w:p>
    <w:p>
      <w:pPr>
        <w:spacing w:line="360" w:lineRule="auto"/>
        <w:ind w:firstLine="481" w:firstLineChars="200"/>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eastAsia="zh-CN"/>
        </w:rPr>
        <w:t>二</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eastAsia="zh-CN"/>
        </w:rPr>
        <w:t>商务要求</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、交货时间：</w:t>
      </w:r>
      <w:r>
        <w:rPr>
          <w:rFonts w:hint="eastAsia" w:ascii="仿宋_GB2312" w:hAnsi="仿宋_GB2312" w:eastAsia="仿宋_GB2312" w:cs="仿宋_GB2312"/>
          <w:kern w:val="0"/>
          <w:sz w:val="24"/>
          <w:szCs w:val="24"/>
          <w:lang w:eastAsia="zh-CN"/>
        </w:rPr>
        <w:t>合同签订</w:t>
      </w:r>
      <w:r>
        <w:rPr>
          <w:rFonts w:hint="eastAsia" w:ascii="仿宋_GB2312" w:hAnsi="仿宋_GB2312" w:eastAsia="仿宋_GB2312" w:cs="仿宋_GB2312"/>
          <w:kern w:val="0"/>
          <w:sz w:val="24"/>
          <w:szCs w:val="24"/>
        </w:rPr>
        <w:t>后</w:t>
      </w:r>
      <w:r>
        <w:rPr>
          <w:rFonts w:hint="eastAsia" w:ascii="仿宋_GB2312" w:hAnsi="仿宋_GB2312" w:eastAsia="仿宋_GB2312" w:cs="仿宋_GB2312"/>
          <w:b/>
          <w:bCs/>
          <w:kern w:val="0"/>
          <w:sz w:val="24"/>
          <w:szCs w:val="24"/>
          <w:u w:val="single"/>
          <w:lang w:val="en-US" w:eastAsia="zh-CN"/>
        </w:rPr>
        <w:t>30</w:t>
      </w:r>
      <w:r>
        <w:rPr>
          <w:rFonts w:hint="eastAsia" w:ascii="仿宋_GB2312" w:hAnsi="仿宋_GB2312" w:eastAsia="仿宋_GB2312" w:cs="仿宋_GB2312"/>
          <w:b/>
          <w:bCs/>
          <w:kern w:val="0"/>
          <w:sz w:val="24"/>
          <w:szCs w:val="24"/>
          <w:u w:val="single"/>
          <w:lang w:eastAsia="zh-CN"/>
        </w:rPr>
        <w:t>天</w:t>
      </w:r>
      <w:r>
        <w:rPr>
          <w:rFonts w:hint="eastAsia" w:ascii="仿宋_GB2312" w:hAnsi="仿宋_GB2312" w:eastAsia="仿宋_GB2312" w:cs="仿宋_GB2312"/>
          <w:kern w:val="0"/>
          <w:sz w:val="24"/>
          <w:szCs w:val="24"/>
        </w:rPr>
        <w:t>内。</w:t>
      </w:r>
    </w:p>
    <w:p>
      <w:pPr>
        <w:spacing w:line="360" w:lineRule="auto"/>
        <w:ind w:firstLine="480" w:firstLineChars="200"/>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2、售后服务要求：</w:t>
      </w:r>
    </w:p>
    <w:p>
      <w:pPr>
        <w:spacing w:line="360" w:lineRule="auto"/>
        <w:ind w:firstLine="480" w:firstLineChars="200"/>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kern w:val="0"/>
          <w:sz w:val="24"/>
          <w:szCs w:val="24"/>
          <w:lang w:val="en-US" w:eastAsia="zh-CN"/>
        </w:rPr>
        <w:t>2.1</w:t>
      </w:r>
      <w:r>
        <w:rPr>
          <w:rFonts w:hint="eastAsia" w:ascii="仿宋_GB2312" w:hAnsi="仿宋_GB2312" w:eastAsia="仿宋_GB2312" w:cs="仿宋_GB2312"/>
          <w:b w:val="0"/>
          <w:bCs w:val="0"/>
          <w:color w:val="auto"/>
          <w:kern w:val="0"/>
          <w:sz w:val="24"/>
          <w:szCs w:val="24"/>
          <w:lang w:val="en-US" w:eastAsia="zh-CN"/>
        </w:rPr>
        <w:t>保修期不低于</w:t>
      </w:r>
      <w:r>
        <w:rPr>
          <w:rFonts w:hint="eastAsia" w:ascii="仿宋_GB2312" w:hAnsi="仿宋_GB2312" w:eastAsia="仿宋_GB2312" w:cs="仿宋_GB2312"/>
          <w:b w:val="0"/>
          <w:bCs w:val="0"/>
          <w:color w:val="auto"/>
          <w:kern w:val="0"/>
          <w:sz w:val="24"/>
          <w:szCs w:val="24"/>
          <w:u w:val="single"/>
          <w:lang w:val="en-US" w:eastAsia="zh-CN"/>
        </w:rPr>
        <w:t>1年</w:t>
      </w:r>
      <w:r>
        <w:rPr>
          <w:rFonts w:hint="eastAsia" w:ascii="仿宋_GB2312" w:hAnsi="仿宋_GB2312" w:eastAsia="仿宋_GB2312" w:cs="仿宋_GB2312"/>
          <w:b w:val="0"/>
          <w:bCs w:val="0"/>
          <w:color w:val="auto"/>
          <w:kern w:val="0"/>
          <w:sz w:val="24"/>
          <w:szCs w:val="24"/>
          <w:lang w:val="en-US" w:eastAsia="zh-CN"/>
        </w:rPr>
        <w:t>.</w:t>
      </w:r>
    </w:p>
    <w:p>
      <w:pPr>
        <w:spacing w:line="360" w:lineRule="auto"/>
        <w:ind w:firstLine="480" w:firstLineChars="200"/>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2.2在质保期内因设备质量问题导致不能正常使用，均由生产厂家或中标供应商负责调试维修。供货商承担免费为用户提供设备版本软件升级服务。</w:t>
      </w:r>
    </w:p>
    <w:p>
      <w:pPr>
        <w:spacing w:line="360" w:lineRule="auto"/>
        <w:ind w:firstLine="480" w:firstLineChars="200"/>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2.3设备安装调试等全部技术服务由设备生产厂家或中标供应商直接负责。接到用户技术服务要求后，2 小时内做出响应，1天内派工程师到达现场服务。</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、价格要求：</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1）货物总报价不超出</w:t>
      </w:r>
      <w:r>
        <w:rPr>
          <w:rFonts w:hint="eastAsia" w:ascii="仿宋_GB2312" w:hAnsi="仿宋_GB2312" w:eastAsia="仿宋_GB2312" w:cs="仿宋_GB2312"/>
          <w:color w:val="auto"/>
          <w:kern w:val="0"/>
          <w:sz w:val="24"/>
          <w:szCs w:val="24"/>
          <w:u w:val="single"/>
          <w:lang w:val="en-US" w:eastAsia="zh-CN"/>
        </w:rPr>
        <w:t>30000</w:t>
      </w:r>
      <w:r>
        <w:rPr>
          <w:rFonts w:hint="eastAsia" w:ascii="仿宋_GB2312" w:hAnsi="仿宋_GB2312" w:eastAsia="仿宋_GB2312" w:cs="仿宋_GB2312"/>
          <w:color w:val="auto"/>
          <w:kern w:val="0"/>
          <w:sz w:val="24"/>
          <w:szCs w:val="24"/>
        </w:rPr>
        <w:t>元；否则报价无效。</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2）报价包括运费、包装费、现场搬运费、安装调试</w:t>
      </w:r>
      <w:r>
        <w:rPr>
          <w:rFonts w:hint="eastAsia" w:ascii="仿宋_GB2312" w:hAnsi="仿宋_GB2312" w:eastAsia="仿宋_GB2312" w:cs="仿宋_GB2312"/>
          <w:color w:val="auto"/>
          <w:kern w:val="0"/>
          <w:sz w:val="24"/>
          <w:szCs w:val="24"/>
          <w:lang w:eastAsia="zh-CN"/>
        </w:rPr>
        <w:t>、产品首次检测</w:t>
      </w:r>
      <w:r>
        <w:rPr>
          <w:rFonts w:hint="eastAsia" w:ascii="仿宋_GB2312" w:hAnsi="仿宋_GB2312" w:eastAsia="仿宋_GB2312" w:cs="仿宋_GB2312"/>
          <w:color w:val="auto"/>
          <w:kern w:val="0"/>
          <w:sz w:val="24"/>
          <w:szCs w:val="24"/>
          <w:lang w:val="en-US" w:eastAsia="zh-CN"/>
        </w:rPr>
        <w:t>/计量费</w:t>
      </w:r>
      <w:r>
        <w:rPr>
          <w:rFonts w:hint="eastAsia" w:ascii="仿宋_GB2312" w:hAnsi="仿宋_GB2312" w:eastAsia="仿宋_GB2312" w:cs="仿宋_GB2312"/>
          <w:color w:val="auto"/>
          <w:kern w:val="0"/>
          <w:sz w:val="24"/>
          <w:szCs w:val="24"/>
        </w:rPr>
        <w:t xml:space="preserve">、售后服务费及其它一切相关费用。 </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3）所开具发票必须为一般纳税人增值税专用发票。</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、付款方式</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设备到货并验收合格后，甲方根据乙方开具的合同总价100%的一般纳税人增值税发票、验收合格报告后的</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个日历日内向乙方支付100%货款。</w:t>
      </w:r>
    </w:p>
    <w:p>
      <w:pPr>
        <w:spacing w:line="360" w:lineRule="auto"/>
        <w:ind w:firstLine="481" w:firstLineChars="200"/>
        <w:rPr>
          <w:rFonts w:hint="eastAsia" w:ascii="仿宋_GB2312" w:hAnsi="仿宋_GB2312" w:eastAsia="仿宋_GB2312" w:cs="仿宋_GB2312"/>
          <w:b/>
          <w:bCs/>
          <w:kern w:val="0"/>
          <w:sz w:val="24"/>
          <w:szCs w:val="24"/>
        </w:rPr>
      </w:pPr>
      <w:bookmarkStart w:id="3" w:name="_GoBack"/>
      <w:r>
        <w:rPr>
          <w:rFonts w:hint="eastAsia" w:ascii="仿宋" w:hAnsi="仿宋" w:eastAsia="仿宋" w:cs="仿宋"/>
          <w:b/>
          <w:bCs/>
          <w:kern w:val="0"/>
          <w:sz w:val="24"/>
          <w:szCs w:val="24"/>
        </w:rPr>
        <w:t>★</w:t>
      </w:r>
      <w:bookmarkEnd w:id="3"/>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eastAsia="zh-CN"/>
        </w:rPr>
        <w:t>三</w:t>
      </w:r>
      <w:r>
        <w:rPr>
          <w:rFonts w:hint="eastAsia" w:ascii="仿宋_GB2312" w:hAnsi="仿宋_GB2312" w:eastAsia="仿宋_GB2312" w:cs="仿宋_GB2312"/>
          <w:b/>
          <w:bCs/>
          <w:kern w:val="0"/>
          <w:sz w:val="24"/>
          <w:szCs w:val="24"/>
        </w:rPr>
        <w:t>）报价文件应至少包括以下部分，否则报价无效：</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1、报价单（须加盖单位公章），格式详见附件</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2、营业执照</w:t>
      </w:r>
    </w:p>
    <w:p>
      <w:pPr>
        <w:spacing w:line="360" w:lineRule="auto"/>
        <w:ind w:firstLine="481" w:firstLineChars="200"/>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二、报价须知</w:t>
      </w:r>
    </w:p>
    <w:p>
      <w:pPr>
        <w:spacing w:line="360" w:lineRule="auto"/>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kern w:val="0"/>
          <w:sz w:val="24"/>
        </w:rPr>
        <w:t>（一）报价方式：</w:t>
      </w:r>
      <w:r>
        <w:rPr>
          <w:rFonts w:hint="eastAsia" w:ascii="仿宋_GB2312" w:hAnsi="仿宋_GB2312" w:eastAsia="仿宋_GB2312" w:cs="仿宋_GB2312"/>
          <w:color w:val="000000"/>
          <w:kern w:val="0"/>
          <w:sz w:val="24"/>
        </w:rPr>
        <w:t xml:space="preserve"> </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1、本项目</w:t>
      </w:r>
      <w:r>
        <w:rPr>
          <w:rFonts w:hint="eastAsia" w:ascii="仿宋_GB2312" w:hAnsi="仿宋_GB2312" w:eastAsia="仿宋_GB2312" w:cs="仿宋_GB2312"/>
          <w:b/>
          <w:color w:val="auto"/>
          <w:kern w:val="0"/>
          <w:sz w:val="24"/>
          <w:szCs w:val="24"/>
        </w:rPr>
        <w:t>以电子邮件报价形式进行报价</w:t>
      </w:r>
      <w:r>
        <w:rPr>
          <w:rFonts w:hint="eastAsia" w:ascii="仿宋_GB2312" w:hAnsi="仿宋_GB2312" w:eastAsia="仿宋_GB2312" w:cs="仿宋_GB2312"/>
          <w:color w:val="auto"/>
          <w:kern w:val="0"/>
          <w:sz w:val="24"/>
          <w:szCs w:val="24"/>
        </w:rPr>
        <w:t>,即报价人应当在报价截</w:t>
      </w:r>
      <w:r>
        <w:rPr>
          <w:rFonts w:hint="eastAsia" w:ascii="仿宋_GB2312" w:hAnsi="仿宋_GB2312" w:eastAsia="仿宋_GB2312" w:cs="仿宋_GB2312"/>
          <w:color w:val="auto"/>
          <w:kern w:val="0"/>
          <w:sz w:val="24"/>
          <w:szCs w:val="24"/>
          <w:highlight w:val="none"/>
        </w:rPr>
        <w:t>止时间前向指定邮箱</w:t>
      </w:r>
      <w:r>
        <w:rPr>
          <w:rFonts w:hint="eastAsia" w:ascii="仿宋_GB2312" w:hAnsi="仿宋_GB2312" w:eastAsia="仿宋_GB2312" w:cs="仿宋_GB2312"/>
          <w:b/>
          <w:bCs/>
          <w:color w:val="auto"/>
          <w:kern w:val="0"/>
          <w:sz w:val="24"/>
          <w:szCs w:val="24"/>
          <w:highlight w:val="none"/>
          <w:u w:val="single"/>
          <w:lang w:val="en-US" w:eastAsia="zh-CN"/>
        </w:rPr>
        <w:t>zhengjing</w:t>
      </w:r>
      <w:r>
        <w:rPr>
          <w:rFonts w:hint="eastAsia" w:ascii="仿宋_GB2312" w:hAnsi="仿宋_GB2312" w:eastAsia="仿宋_GB2312" w:cs="仿宋_GB2312"/>
          <w:b/>
          <w:bCs/>
          <w:color w:val="auto"/>
          <w:kern w:val="0"/>
          <w:sz w:val="24"/>
          <w:szCs w:val="24"/>
          <w:highlight w:val="none"/>
          <w:u w:val="single"/>
        </w:rPr>
        <w:t>@</w:t>
      </w:r>
      <w:r>
        <w:rPr>
          <w:rFonts w:hint="eastAsia" w:ascii="仿宋_GB2312" w:hAnsi="仿宋_GB2312" w:eastAsia="仿宋_GB2312" w:cs="仿宋_GB2312"/>
          <w:b/>
          <w:bCs/>
          <w:color w:val="auto"/>
          <w:kern w:val="0"/>
          <w:sz w:val="24"/>
          <w:szCs w:val="24"/>
          <w:highlight w:val="none"/>
          <w:u w:val="single"/>
          <w:lang w:val="en-US" w:eastAsia="zh-CN"/>
        </w:rPr>
        <w:t>xmzjy</w:t>
      </w:r>
      <w:r>
        <w:rPr>
          <w:rFonts w:hint="eastAsia" w:ascii="仿宋_GB2312" w:hAnsi="仿宋_GB2312" w:eastAsia="仿宋_GB2312" w:cs="仿宋_GB2312"/>
          <w:b/>
          <w:color w:val="auto"/>
          <w:kern w:val="0"/>
          <w:sz w:val="24"/>
          <w:szCs w:val="24"/>
          <w:highlight w:val="none"/>
          <w:u w:val="single"/>
        </w:rPr>
        <w:t>.</w:t>
      </w:r>
      <w:r>
        <w:rPr>
          <w:rFonts w:hint="eastAsia" w:ascii="仿宋_GB2312" w:hAnsi="仿宋_GB2312" w:eastAsia="仿宋_GB2312" w:cs="仿宋_GB2312"/>
          <w:b/>
          <w:color w:val="auto"/>
          <w:kern w:val="0"/>
          <w:sz w:val="24"/>
          <w:szCs w:val="24"/>
          <w:highlight w:val="none"/>
          <w:u w:val="single"/>
          <w:lang w:val="en-US" w:eastAsia="zh-CN"/>
        </w:rPr>
        <w:t>org</w:t>
      </w:r>
      <w:r>
        <w:rPr>
          <w:rFonts w:hint="eastAsia" w:ascii="仿宋_GB2312" w:hAnsi="仿宋_GB2312" w:eastAsia="仿宋_GB2312" w:cs="仿宋_GB2312"/>
          <w:color w:val="auto"/>
          <w:kern w:val="0"/>
          <w:sz w:val="24"/>
          <w:szCs w:val="24"/>
          <w:highlight w:val="none"/>
          <w:u w:val="single"/>
          <w:lang w:eastAsia="zh-CN"/>
        </w:rPr>
        <w:t>及</w:t>
      </w:r>
      <w:r>
        <w:rPr>
          <w:rFonts w:hint="eastAsia" w:ascii="仿宋_GB2312" w:hAnsi="仿宋_GB2312" w:eastAsia="仿宋_GB2312" w:cs="仿宋_GB2312"/>
          <w:b/>
          <w:color w:val="auto"/>
          <w:kern w:val="0"/>
          <w:sz w:val="24"/>
          <w:szCs w:val="24"/>
          <w:highlight w:val="none"/>
          <w:u w:val="single"/>
          <w:lang w:val="en-US" w:eastAsia="zh-CN"/>
        </w:rPr>
        <w:t>wujintai</w:t>
      </w:r>
      <w:r>
        <w:rPr>
          <w:rFonts w:hint="eastAsia" w:ascii="仿宋_GB2312" w:hAnsi="仿宋_GB2312" w:eastAsia="仿宋_GB2312" w:cs="仿宋_GB2312"/>
          <w:b/>
          <w:color w:val="auto"/>
          <w:kern w:val="0"/>
          <w:sz w:val="24"/>
          <w:szCs w:val="24"/>
          <w:highlight w:val="none"/>
          <w:u w:val="single"/>
        </w:rPr>
        <w:t>@</w:t>
      </w:r>
      <w:r>
        <w:rPr>
          <w:rFonts w:hint="eastAsia" w:ascii="仿宋_GB2312" w:hAnsi="仿宋_GB2312" w:eastAsia="仿宋_GB2312" w:cs="仿宋_GB2312"/>
          <w:b/>
          <w:color w:val="auto"/>
          <w:kern w:val="0"/>
          <w:sz w:val="24"/>
          <w:szCs w:val="24"/>
          <w:highlight w:val="none"/>
          <w:u w:val="single"/>
          <w:lang w:val="en-US" w:eastAsia="zh-CN"/>
        </w:rPr>
        <w:t>xmzjy</w:t>
      </w:r>
      <w:r>
        <w:rPr>
          <w:rFonts w:hint="eastAsia" w:ascii="仿宋_GB2312" w:hAnsi="仿宋_GB2312" w:eastAsia="仿宋_GB2312" w:cs="仿宋_GB2312"/>
          <w:b/>
          <w:color w:val="auto"/>
          <w:kern w:val="0"/>
          <w:sz w:val="24"/>
          <w:szCs w:val="24"/>
          <w:highlight w:val="none"/>
          <w:u w:val="single"/>
        </w:rPr>
        <w:t>.</w:t>
      </w:r>
      <w:r>
        <w:rPr>
          <w:rFonts w:hint="eastAsia" w:ascii="仿宋_GB2312" w:hAnsi="仿宋_GB2312" w:eastAsia="仿宋_GB2312" w:cs="仿宋_GB2312"/>
          <w:b/>
          <w:color w:val="auto"/>
          <w:kern w:val="0"/>
          <w:sz w:val="24"/>
          <w:szCs w:val="24"/>
          <w:highlight w:val="none"/>
          <w:u w:val="single"/>
          <w:lang w:val="en-US" w:eastAsia="zh-CN"/>
        </w:rPr>
        <w:t>org</w:t>
      </w:r>
      <w:r>
        <w:rPr>
          <w:rFonts w:hint="eastAsia" w:ascii="仿宋_GB2312" w:hAnsi="仿宋_GB2312" w:eastAsia="仿宋_GB2312" w:cs="仿宋_GB2312"/>
          <w:color w:val="auto"/>
          <w:kern w:val="0"/>
          <w:sz w:val="24"/>
          <w:szCs w:val="24"/>
          <w:highlight w:val="none"/>
        </w:rPr>
        <w:t>发送经报价人盖章扫描的报价文件</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邮件主题需体现项目编号</w:t>
      </w:r>
      <w:r>
        <w:rPr>
          <w:rFonts w:hint="eastAsia" w:ascii="仿宋_GB2312" w:hAnsi="仿宋_GB2312" w:eastAsia="仿宋_GB2312" w:cs="仿宋_GB2312"/>
          <w:color w:val="auto"/>
          <w:kern w:val="0"/>
          <w:sz w:val="24"/>
          <w:szCs w:val="24"/>
          <w:highlight w:val="none"/>
        </w:rPr>
        <w:t>。报单价一次报出，不得更改,填写后不得涂改挖补,否则报价无效。</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、报价单必须在20</w:t>
      </w:r>
      <w:r>
        <w:rPr>
          <w:rFonts w:hint="eastAsia" w:ascii="仿宋_GB2312" w:hAnsi="仿宋_GB2312" w:eastAsia="仿宋_GB2312" w:cs="仿宋_GB2312"/>
          <w:color w:val="auto"/>
          <w:kern w:val="0"/>
          <w:sz w:val="24"/>
          <w:szCs w:val="24"/>
          <w:lang w:val="en-US" w:eastAsia="zh-CN"/>
        </w:rPr>
        <w:t>26</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lang w:val="en-US" w:eastAsia="zh-CN"/>
        </w:rPr>
        <w:t>15</w:t>
      </w:r>
      <w:r>
        <w:rPr>
          <w:rFonts w:hint="eastAsia" w:ascii="仿宋_GB2312" w:hAnsi="仿宋_GB2312" w:eastAsia="仿宋_GB2312" w:cs="仿宋_GB2312"/>
          <w:color w:val="auto"/>
          <w:kern w:val="0"/>
          <w:sz w:val="24"/>
          <w:szCs w:val="24"/>
        </w:rPr>
        <w:t>日</w:t>
      </w:r>
      <w:r>
        <w:rPr>
          <w:rFonts w:hint="eastAsia" w:ascii="仿宋_GB2312" w:hAnsi="仿宋_GB2312" w:eastAsia="仿宋_GB2312" w:cs="仿宋_GB2312"/>
          <w:color w:val="auto"/>
          <w:kern w:val="0"/>
          <w:sz w:val="24"/>
          <w:szCs w:val="24"/>
          <w:lang w:val="en-US" w:eastAsia="zh-CN"/>
        </w:rPr>
        <w:t>17</w:t>
      </w:r>
      <w:r>
        <w:rPr>
          <w:rFonts w:hint="eastAsia" w:ascii="仿宋_GB2312" w:hAnsi="仿宋_GB2312" w:eastAsia="仿宋_GB2312" w:cs="仿宋_GB2312"/>
          <w:color w:val="auto"/>
          <w:kern w:val="0"/>
          <w:sz w:val="24"/>
          <w:szCs w:val="24"/>
        </w:rPr>
        <w:t>点</w:t>
      </w:r>
      <w:r>
        <w:rPr>
          <w:rFonts w:hint="eastAsia" w:ascii="仿宋_GB2312" w:hAnsi="仿宋_GB2312" w:eastAsia="仿宋_GB2312" w:cs="仿宋_GB2312"/>
          <w:color w:val="auto"/>
          <w:kern w:val="0"/>
          <w:sz w:val="24"/>
          <w:szCs w:val="24"/>
          <w:lang w:val="en-US" w:eastAsia="zh-CN"/>
        </w:rPr>
        <w:t>30分</w:t>
      </w:r>
      <w:r>
        <w:rPr>
          <w:rFonts w:hint="eastAsia" w:ascii="仿宋_GB2312" w:hAnsi="仿宋_GB2312" w:eastAsia="仿宋_GB2312" w:cs="仿宋_GB2312"/>
          <w:color w:val="auto"/>
          <w:kern w:val="0"/>
          <w:sz w:val="24"/>
          <w:szCs w:val="24"/>
        </w:rPr>
        <w:t>（报价截止时间）之前发送至我</w:t>
      </w:r>
      <w:r>
        <w:rPr>
          <w:rFonts w:hint="eastAsia" w:ascii="仿宋_GB2312" w:hAnsi="仿宋_GB2312" w:eastAsia="仿宋_GB2312" w:cs="仿宋_GB2312"/>
          <w:color w:val="auto"/>
          <w:kern w:val="0"/>
          <w:sz w:val="24"/>
          <w:szCs w:val="24"/>
          <w:lang w:eastAsia="zh-CN"/>
        </w:rPr>
        <w:t>院</w:t>
      </w:r>
      <w:r>
        <w:rPr>
          <w:rFonts w:hint="eastAsia" w:ascii="仿宋_GB2312" w:hAnsi="仿宋_GB2312" w:eastAsia="仿宋_GB2312" w:cs="仿宋_GB2312"/>
          <w:color w:val="auto"/>
          <w:kern w:val="0"/>
          <w:sz w:val="24"/>
          <w:szCs w:val="24"/>
        </w:rPr>
        <w:t>指定邮箱；报价开启时间为20</w:t>
      </w:r>
      <w:r>
        <w:rPr>
          <w:rFonts w:hint="eastAsia" w:ascii="仿宋_GB2312" w:hAnsi="仿宋_GB2312" w:eastAsia="仿宋_GB2312" w:cs="仿宋_GB2312"/>
          <w:color w:val="auto"/>
          <w:kern w:val="0"/>
          <w:sz w:val="24"/>
          <w:szCs w:val="24"/>
          <w:lang w:val="en-US" w:eastAsia="zh-CN"/>
        </w:rPr>
        <w:t>26</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lang w:val="en-US" w:eastAsia="zh-CN"/>
        </w:rPr>
        <w:t>18</w:t>
      </w:r>
      <w:r>
        <w:rPr>
          <w:rFonts w:hint="eastAsia" w:ascii="仿宋_GB2312" w:hAnsi="仿宋_GB2312" w:eastAsia="仿宋_GB2312" w:cs="仿宋_GB2312"/>
          <w:color w:val="auto"/>
          <w:kern w:val="0"/>
          <w:sz w:val="24"/>
          <w:szCs w:val="24"/>
        </w:rPr>
        <w:t>日</w:t>
      </w: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点</w:t>
      </w:r>
      <w:r>
        <w:rPr>
          <w:rFonts w:hint="eastAsia" w:ascii="仿宋_GB2312" w:hAnsi="仿宋_GB2312" w:eastAsia="仿宋_GB2312" w:cs="仿宋_GB2312"/>
          <w:color w:val="auto"/>
          <w:kern w:val="0"/>
          <w:sz w:val="24"/>
          <w:szCs w:val="24"/>
          <w:lang w:val="en-US" w:eastAsia="zh-CN"/>
        </w:rPr>
        <w:t>30分</w:t>
      </w:r>
      <w:r>
        <w:rPr>
          <w:rFonts w:hint="eastAsia" w:ascii="仿宋_GB2312" w:hAnsi="仿宋_GB2312" w:eastAsia="仿宋_GB2312" w:cs="仿宋_GB2312"/>
          <w:color w:val="auto"/>
          <w:kern w:val="0"/>
          <w:sz w:val="24"/>
          <w:szCs w:val="24"/>
        </w:rPr>
        <w:t>。报价供应商无需到场。</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（二）出现以下情况之一的，报价无效：</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1、报价文件内容不完整的；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2、超过报价截止时间提交报价的；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3、报价方式不符合本报价须知要求的；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4、报价人有弄虚作假或串标、围标等违法行为的；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5、报价文件不能实质性响应本询价函的。</w:t>
      </w:r>
    </w:p>
    <w:p>
      <w:pPr>
        <w:spacing w:line="360" w:lineRule="auto"/>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6、报价人或其法定代表人不得被列入经营异常名录或严重违法失信企业名单或严重失信主体名单等情形。</w:t>
      </w:r>
    </w:p>
    <w:p>
      <w:pPr>
        <w:spacing w:line="360" w:lineRule="auto"/>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7、报价人不得存在其他法律法规认定报价无效的情形。</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（三）确定成交供应商原则：根据实质性响应本</w:t>
      </w:r>
      <w:r>
        <w:rPr>
          <w:rFonts w:hint="eastAsia" w:ascii="仿宋_GB2312" w:hAnsi="仿宋_GB2312" w:eastAsia="仿宋_GB2312" w:cs="仿宋_GB2312"/>
          <w:kern w:val="0"/>
          <w:sz w:val="24"/>
          <w:szCs w:val="24"/>
          <w:lang w:eastAsia="zh-CN"/>
        </w:rPr>
        <w:t>项目</w:t>
      </w:r>
      <w:r>
        <w:rPr>
          <w:rFonts w:hint="eastAsia" w:ascii="仿宋_GB2312" w:hAnsi="仿宋_GB2312" w:eastAsia="仿宋_GB2312" w:cs="仿宋_GB2312"/>
          <w:kern w:val="0"/>
          <w:sz w:val="24"/>
          <w:szCs w:val="24"/>
        </w:rPr>
        <w:t>询价要求且报价最低的原则确定成交供应商。</w:t>
      </w:r>
    </w:p>
    <w:p>
      <w:pPr>
        <w:spacing w:line="360" w:lineRule="auto"/>
        <w:ind w:firstLine="480" w:firstLineChars="2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四</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报价人一旦递交报价文件，即视为认可本询价方式及报价须知的所有内容。</w:t>
      </w:r>
    </w:p>
    <w:p>
      <w:pPr>
        <w:spacing w:line="360" w:lineRule="auto"/>
        <w:ind w:firstLine="480" w:firstLineChars="20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（五）同一品牌认定标准：如果有多家报价人所报</w:t>
      </w:r>
      <w:r>
        <w:rPr>
          <w:rFonts w:hint="eastAsia" w:ascii="仿宋_GB2312" w:hAnsi="仿宋_GB2312" w:eastAsia="仿宋_GB2312" w:cs="仿宋_GB2312"/>
          <w:b/>
          <w:bCs/>
          <w:kern w:val="0"/>
          <w:sz w:val="24"/>
          <w:szCs w:val="24"/>
          <w:u w:val="single"/>
          <w:lang w:val="en-US" w:eastAsia="zh-CN"/>
        </w:rPr>
        <w:t>交换机</w:t>
      </w:r>
      <w:r>
        <w:rPr>
          <w:rFonts w:hint="eastAsia" w:ascii="仿宋_GB2312" w:hAnsi="仿宋_GB2312" w:eastAsia="仿宋_GB2312" w:cs="仿宋_GB2312"/>
          <w:kern w:val="0"/>
          <w:sz w:val="24"/>
          <w:szCs w:val="24"/>
          <w:lang w:val="en-US" w:eastAsia="zh-CN"/>
        </w:rPr>
        <w:t>为同品牌，无论其他品目号产品报价的品牌是否一样，均只能视为一家，此外其他情形均不认定为同品牌。</w:t>
      </w:r>
    </w:p>
    <w:p>
      <w:pPr>
        <w:spacing w:line="360" w:lineRule="auto"/>
        <w:ind w:firstLine="480" w:firstLineChars="200"/>
        <w:jc w:val="both"/>
        <w:rPr>
          <w:rFonts w:hint="eastAsia" w:ascii="仿宋_GB2312" w:hAnsi="仿宋_GB2312" w:eastAsia="仿宋_GB2312" w:cs="仿宋_GB2312"/>
          <w:kern w:val="0"/>
          <w:sz w:val="24"/>
          <w:szCs w:val="24"/>
        </w:rPr>
      </w:pPr>
    </w:p>
    <w:p>
      <w:pPr>
        <w:spacing w:line="360" w:lineRule="auto"/>
        <w:ind w:firstLine="480" w:firstLineChars="200"/>
        <w:rPr>
          <w:rFonts w:hint="eastAsia" w:ascii="仿宋_GB2312" w:hAnsi="仿宋_GB2312" w:eastAsia="仿宋_GB2312" w:cs="仿宋_GB2312"/>
          <w:kern w:val="0"/>
          <w:sz w:val="24"/>
          <w:szCs w:val="24"/>
        </w:rPr>
      </w:pPr>
    </w:p>
    <w:p>
      <w:pPr>
        <w:spacing w:line="360" w:lineRule="auto"/>
        <w:ind w:firstLine="5280" w:firstLineChars="2200"/>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厦门市产品质量监督检验院</w:t>
      </w:r>
    </w:p>
    <w:p>
      <w:pPr>
        <w:spacing w:line="360" w:lineRule="auto"/>
        <w:ind w:firstLine="5760" w:firstLineChars="2400"/>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r>
        <w:rPr>
          <w:rFonts w:hint="eastAsia" w:ascii="仿宋_GB2312" w:hAnsi="仿宋_GB2312" w:eastAsia="仿宋_GB2312" w:cs="仿宋_GB2312"/>
          <w:kern w:val="0"/>
          <w:sz w:val="24"/>
          <w:szCs w:val="24"/>
          <w:lang w:val="en-US" w:eastAsia="zh-CN"/>
        </w:rPr>
        <w:t>26</w:t>
      </w:r>
      <w:r>
        <w:rPr>
          <w:rFonts w:hint="eastAsia" w:ascii="仿宋_GB2312" w:hAnsi="仿宋_GB2312" w:eastAsia="仿宋_GB2312" w:cs="仿宋_GB2312"/>
          <w:kern w:val="0"/>
          <w:sz w:val="24"/>
          <w:szCs w:val="24"/>
        </w:rPr>
        <w:t>年</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月</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日</w:t>
      </w: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ascii="仿宋" w:hAnsi="仿宋" w:eastAsia="仿宋"/>
          <w:b/>
          <w:sz w:val="36"/>
        </w:rPr>
      </w:pPr>
      <w:r>
        <w:rPr>
          <w:rFonts w:hint="eastAsia" w:ascii="仿宋" w:hAnsi="仿宋" w:eastAsia="仿宋"/>
          <w:b/>
          <w:sz w:val="36"/>
        </w:rPr>
        <w:t>报价单（参考）</w:t>
      </w:r>
    </w:p>
    <w:p>
      <w:pPr>
        <w:spacing w:line="380" w:lineRule="exact"/>
        <w:rPr>
          <w:rFonts w:hint="eastAsia" w:ascii="仿宋" w:hAnsi="仿宋" w:eastAsia="仿宋"/>
        </w:rPr>
      </w:pPr>
    </w:p>
    <w:p>
      <w:pPr>
        <w:spacing w:line="380" w:lineRule="exact"/>
        <w:rPr>
          <w:rFonts w:hint="eastAsia" w:ascii="仿宋" w:hAnsi="仿宋" w:eastAsia="仿宋"/>
          <w:sz w:val="24"/>
          <w:lang w:eastAsia="zh-CN"/>
        </w:rPr>
      </w:pPr>
      <w:r>
        <w:rPr>
          <w:rFonts w:hint="eastAsia" w:ascii="仿宋" w:hAnsi="仿宋" w:eastAsia="仿宋"/>
        </w:rPr>
        <w:t xml:space="preserve">报价人名称：                 </w:t>
      </w:r>
      <w:r>
        <w:rPr>
          <w:rFonts w:hint="eastAsia" w:ascii="仿宋" w:hAnsi="仿宋" w:eastAsia="仿宋"/>
          <w:lang w:val="en-US" w:eastAsia="zh-CN"/>
        </w:rPr>
        <w:t xml:space="preserve">   </w:t>
      </w:r>
      <w:r>
        <w:rPr>
          <w:rFonts w:hint="eastAsia" w:ascii="仿宋" w:hAnsi="仿宋" w:eastAsia="仿宋"/>
        </w:rPr>
        <w:t>项目编号∶</w:t>
      </w:r>
      <w:r>
        <w:rPr>
          <w:rFonts w:hint="eastAsia" w:ascii="仿宋" w:hAnsi="仿宋" w:eastAsia="仿宋"/>
          <w:lang w:eastAsia="zh-CN"/>
        </w:rPr>
        <w:t>XM2026-XJ0001C1</w:t>
      </w: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货币单位：</w:t>
      </w:r>
      <w:r>
        <w:rPr>
          <w:rFonts w:hint="eastAsia" w:ascii="仿宋" w:hAnsi="仿宋" w:eastAsia="仿宋"/>
          <w:lang w:eastAsia="zh-CN"/>
        </w:rPr>
        <w:t>元</w:t>
      </w:r>
    </w:p>
    <w:tbl>
      <w:tblPr>
        <w:tblStyle w:val="10"/>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889"/>
        <w:gridCol w:w="1212"/>
        <w:gridCol w:w="1036"/>
        <w:gridCol w:w="1929"/>
        <w:gridCol w:w="127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合同包</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货物名称</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lang w:eastAsia="zh-CN"/>
              </w:rPr>
            </w:pPr>
            <w:r>
              <w:rPr>
                <w:rFonts w:hint="eastAsia" w:ascii="仿宋" w:hAnsi="仿宋" w:eastAsia="仿宋"/>
                <w:lang w:eastAsia="zh-CN"/>
              </w:rPr>
              <w:t>品牌及</w:t>
            </w:r>
            <w:r>
              <w:rPr>
                <w:rFonts w:hint="eastAsia" w:ascii="仿宋" w:hAnsi="仿宋" w:eastAsia="仿宋"/>
              </w:rPr>
              <w:t>规格</w:t>
            </w:r>
            <w:r>
              <w:rPr>
                <w:rFonts w:hint="eastAsia" w:ascii="仿宋" w:hAnsi="仿宋" w:eastAsia="仿宋"/>
                <w:lang w:eastAsia="zh-CN"/>
              </w:rPr>
              <w:t>型号</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数量</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报价(现场交货价)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交货期</w:t>
            </w: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sz w:val="24"/>
                <w:lang w:val="en-US" w:eastAsia="zh-CN"/>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sz w:val="24"/>
                <w:lang w:val="en-US" w:eastAsia="zh-CN"/>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sz w:val="24"/>
                <w:lang w:val="en-US" w:eastAsia="zh-CN"/>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9253"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sz w:val="24"/>
              </w:rPr>
            </w:pPr>
            <w:r>
              <w:rPr>
                <w:rFonts w:hint="eastAsia" w:ascii="仿宋" w:hAnsi="仿宋" w:eastAsia="仿宋"/>
                <w:sz w:val="24"/>
              </w:rPr>
              <w:t xml:space="preserve">总价：大写：                            </w:t>
            </w:r>
            <w:r>
              <w:rPr>
                <w:rFonts w:hint="eastAsia" w:ascii="仿宋" w:hAnsi="仿宋" w:eastAsia="仿宋"/>
                <w:sz w:val="24"/>
                <w:lang w:val="en-US" w:eastAsia="zh-CN"/>
              </w:rPr>
              <w:t xml:space="preserve">                </w:t>
            </w:r>
            <w:r>
              <w:rPr>
                <w:rFonts w:hint="eastAsia" w:ascii="仿宋" w:hAnsi="仿宋" w:eastAsia="仿宋"/>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9253"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宋体"/>
                <w:b/>
                <w:bCs/>
                <w:kern w:val="0"/>
                <w:sz w:val="24"/>
                <w:lang w:eastAsia="zh-CN"/>
              </w:rPr>
            </w:pPr>
            <w:r>
              <w:rPr>
                <w:rFonts w:hint="eastAsia" w:ascii="仿宋" w:hAnsi="仿宋" w:eastAsia="仿宋" w:cs="宋体"/>
                <w:b/>
                <w:bCs/>
                <w:kern w:val="0"/>
                <w:sz w:val="24"/>
                <w:lang w:eastAsia="zh-CN"/>
              </w:rPr>
              <w:t>所报价设备满足本项目（</w:t>
            </w:r>
            <w:r>
              <w:rPr>
                <w:rFonts w:hint="eastAsia" w:ascii="仿宋" w:hAnsi="仿宋" w:eastAsia="仿宋" w:cs="宋体"/>
                <w:b/>
                <w:bCs/>
                <w:kern w:val="0"/>
                <w:sz w:val="24"/>
              </w:rPr>
              <w:t>编号为</w:t>
            </w:r>
            <w:r>
              <w:rPr>
                <w:rFonts w:hint="eastAsia" w:ascii="仿宋" w:hAnsi="仿宋" w:eastAsia="仿宋" w:cs="宋体"/>
                <w:b/>
                <w:bCs/>
                <w:kern w:val="0"/>
                <w:sz w:val="24"/>
                <w:lang w:eastAsia="zh-CN"/>
              </w:rPr>
              <w:t>XM2026-XJ0001C1）所有技术参数要求。</w:t>
            </w:r>
          </w:p>
        </w:tc>
      </w:tr>
    </w:tbl>
    <w:p>
      <w:pPr>
        <w:spacing w:line="380" w:lineRule="exact"/>
        <w:rPr>
          <w:rFonts w:hint="eastAsia"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pPr>
        <w:spacing w:line="380" w:lineRule="exact"/>
        <w:rPr>
          <w:rFonts w:hint="eastAsia" w:ascii="仿宋" w:hAnsi="仿宋" w:eastAsia="仿宋"/>
          <w:b/>
          <w:lang w:eastAsia="zh-CN"/>
        </w:rPr>
      </w:pPr>
    </w:p>
    <w:p>
      <w:pPr>
        <w:spacing w:line="380" w:lineRule="exact"/>
        <w:rPr>
          <w:rFonts w:hint="eastAsia" w:ascii="仿宋" w:hAnsi="仿宋" w:eastAsia="仿宋"/>
          <w:b/>
          <w:lang w:eastAsia="zh-CN"/>
        </w:rPr>
      </w:pPr>
      <w:r>
        <w:rPr>
          <w:rFonts w:hint="eastAsia" w:ascii="仿宋" w:hAnsi="仿宋" w:eastAsia="仿宋"/>
          <w:b/>
          <w:lang w:eastAsia="zh-CN"/>
        </w:rPr>
        <w:t>联系人：</w:t>
      </w:r>
    </w:p>
    <w:p>
      <w:pPr>
        <w:spacing w:line="380" w:lineRule="exact"/>
        <w:rPr>
          <w:rFonts w:hint="eastAsia" w:ascii="仿宋" w:hAnsi="仿宋" w:eastAsia="仿宋"/>
          <w:b/>
          <w:lang w:eastAsia="zh-CN"/>
        </w:rPr>
      </w:pPr>
      <w:r>
        <w:rPr>
          <w:rFonts w:hint="eastAsia" w:ascii="仿宋" w:hAnsi="仿宋" w:eastAsia="仿宋"/>
          <w:b/>
          <w:lang w:eastAsia="zh-CN"/>
        </w:rPr>
        <w:t>联系人方式：</w:t>
      </w:r>
    </w:p>
    <w:p>
      <w:pPr>
        <w:spacing w:line="380" w:lineRule="exact"/>
        <w:rPr>
          <w:rFonts w:hint="eastAsia" w:ascii="仿宋" w:hAnsi="仿宋" w:eastAsia="仿宋"/>
          <w:b/>
        </w:rPr>
      </w:pPr>
    </w:p>
    <w:p>
      <w:pPr>
        <w:spacing w:line="380" w:lineRule="exact"/>
        <w:rPr>
          <w:rFonts w:hint="eastAsia" w:ascii="仿宋" w:hAnsi="仿宋" w:eastAsia="仿宋"/>
          <w:b/>
        </w:rPr>
      </w:pPr>
    </w:p>
    <w:p>
      <w:pPr>
        <w:spacing w:line="380" w:lineRule="exact"/>
        <w:rPr>
          <w:rFonts w:hint="eastAsia" w:ascii="仿宋" w:hAnsi="仿宋" w:eastAsia="仿宋"/>
          <w:b/>
        </w:rPr>
      </w:pPr>
      <w:r>
        <w:rPr>
          <w:rFonts w:hint="eastAsia" w:ascii="仿宋" w:hAnsi="仿宋" w:eastAsia="仿宋"/>
          <w:b/>
        </w:rPr>
        <w:t xml:space="preserve">                                                               </w:t>
      </w:r>
      <w:r>
        <w:rPr>
          <w:rFonts w:hint="eastAsia" w:ascii="仿宋" w:hAnsi="仿宋" w:eastAsia="仿宋"/>
          <w:b/>
          <w:lang w:val="en-US" w:eastAsia="zh-CN"/>
        </w:rPr>
        <w:t xml:space="preserve">       </w:t>
      </w:r>
      <w:r>
        <w:rPr>
          <w:rFonts w:hint="eastAsia" w:ascii="仿宋" w:hAnsi="仿宋" w:eastAsia="仿宋"/>
          <w:b/>
        </w:rPr>
        <w:t xml:space="preserve">   报价人盖章</w:t>
      </w:r>
    </w:p>
    <w:p>
      <w:pPr>
        <w:spacing w:line="380" w:lineRule="exact"/>
        <w:ind w:firstLine="7800" w:firstLineChars="3700"/>
        <w:rPr>
          <w:rFonts w:hint="eastAsia" w:ascii="仿宋" w:hAnsi="仿宋" w:eastAsia="仿宋"/>
          <w:b/>
          <w:lang w:eastAsia="zh-CN"/>
        </w:rPr>
      </w:pPr>
      <w:r>
        <w:rPr>
          <w:rFonts w:hint="eastAsia" w:ascii="仿宋" w:hAnsi="仿宋" w:eastAsia="仿宋"/>
          <w:b/>
          <w:lang w:eastAsia="zh-CN"/>
        </w:rPr>
        <w:t>报价时间：</w:t>
      </w:r>
    </w:p>
    <w:p>
      <w:pPr>
        <w:rPr>
          <w:rFonts w:ascii="仿宋" w:hAnsi="仿宋" w:eastAsia="仿宋"/>
        </w:rPr>
      </w:pPr>
    </w:p>
    <w:p>
      <w:pPr>
        <w:spacing w:line="360" w:lineRule="auto"/>
        <w:rPr>
          <w:b/>
          <w:sz w:val="24"/>
        </w:rPr>
      </w:pPr>
    </w:p>
    <w:bookmarkEnd w:id="0"/>
    <w:p>
      <w:pPr>
        <w:pStyle w:val="20"/>
        <w:numPr>
          <w:ilvl w:val="0"/>
          <w:numId w:val="0"/>
        </w:numPr>
        <w:spacing w:line="360" w:lineRule="auto"/>
        <w:ind w:left="142" w:leftChars="0"/>
        <w:rPr>
          <w:rFonts w:ascii="Times New Roman" w:hAnsi="Times New Roman"/>
          <w:sz w:val="24"/>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E31DE"/>
    <w:multiLevelType w:val="multilevel"/>
    <w:tmpl w:val="0F1E31DE"/>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5C26BC2"/>
    <w:multiLevelType w:val="multilevel"/>
    <w:tmpl w:val="15C26BC2"/>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20558DD"/>
    <w:multiLevelType w:val="multilevel"/>
    <w:tmpl w:val="220558DD"/>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FC7237C"/>
    <w:multiLevelType w:val="multilevel"/>
    <w:tmpl w:val="2FC7237C"/>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1BF16A7"/>
    <w:multiLevelType w:val="multilevel"/>
    <w:tmpl w:val="31BF16A7"/>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5E85437"/>
    <w:multiLevelType w:val="multilevel"/>
    <w:tmpl w:val="35E85437"/>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AEC3EE9"/>
    <w:multiLevelType w:val="multilevel"/>
    <w:tmpl w:val="3AEC3EE9"/>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C7A4655"/>
    <w:multiLevelType w:val="multilevel"/>
    <w:tmpl w:val="3C7A4655"/>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F53067B"/>
    <w:multiLevelType w:val="multilevel"/>
    <w:tmpl w:val="3F53067B"/>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451C14F0"/>
    <w:multiLevelType w:val="multilevel"/>
    <w:tmpl w:val="451C14F0"/>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E6D6959"/>
    <w:multiLevelType w:val="multilevel"/>
    <w:tmpl w:val="4E6D6959"/>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50CB4155"/>
    <w:multiLevelType w:val="multilevel"/>
    <w:tmpl w:val="50CB4155"/>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6136A2E"/>
    <w:multiLevelType w:val="multilevel"/>
    <w:tmpl w:val="56136A2E"/>
    <w:lvl w:ilvl="0" w:tentative="0">
      <w:start w:val="1"/>
      <w:numFmt w:val="japaneseCounting"/>
      <w:lvlText w:val="（%1）"/>
      <w:lvlJc w:val="left"/>
      <w:pPr>
        <w:ind w:left="756" w:hanging="756"/>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DAF523B"/>
    <w:multiLevelType w:val="multilevel"/>
    <w:tmpl w:val="5DAF523B"/>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66B33FE0"/>
    <w:multiLevelType w:val="multilevel"/>
    <w:tmpl w:val="66B33FE0"/>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4"/>
  </w:num>
  <w:num w:numId="2">
    <w:abstractNumId w:val="2"/>
  </w:num>
  <w:num w:numId="3">
    <w:abstractNumId w:val="3"/>
  </w:num>
  <w:num w:numId="4">
    <w:abstractNumId w:val="9"/>
  </w:num>
  <w:num w:numId="5">
    <w:abstractNumId w:val="0"/>
  </w:num>
  <w:num w:numId="6">
    <w:abstractNumId w:val="4"/>
  </w:num>
  <w:num w:numId="7">
    <w:abstractNumId w:val="7"/>
  </w:num>
  <w:num w:numId="8">
    <w:abstractNumId w:val="13"/>
  </w:num>
  <w:num w:numId="9">
    <w:abstractNumId w:val="1"/>
  </w:num>
  <w:num w:numId="10">
    <w:abstractNumId w:val="5"/>
  </w:num>
  <w:num w:numId="11">
    <w:abstractNumId w:val="10"/>
  </w:num>
  <w:num w:numId="12">
    <w:abstractNumId w:val="8"/>
  </w:num>
  <w:num w:numId="13">
    <w:abstractNumId w:val="1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ZWRmOTllMjY2NzQ1YTUzMTc3ODlmYTAwOWYyZGMifQ=="/>
  </w:docVars>
  <w:rsids>
    <w:rsidRoot w:val="00172A27"/>
    <w:rsid w:val="0000025D"/>
    <w:rsid w:val="00002A5E"/>
    <w:rsid w:val="00003C0A"/>
    <w:rsid w:val="00006AC9"/>
    <w:rsid w:val="000105D2"/>
    <w:rsid w:val="000132D4"/>
    <w:rsid w:val="000227BE"/>
    <w:rsid w:val="000252C3"/>
    <w:rsid w:val="00027BD8"/>
    <w:rsid w:val="00031A2E"/>
    <w:rsid w:val="000373C2"/>
    <w:rsid w:val="000447A3"/>
    <w:rsid w:val="00044BCF"/>
    <w:rsid w:val="00045049"/>
    <w:rsid w:val="000463F2"/>
    <w:rsid w:val="00047408"/>
    <w:rsid w:val="000505AC"/>
    <w:rsid w:val="0005081D"/>
    <w:rsid w:val="000513A8"/>
    <w:rsid w:val="00062156"/>
    <w:rsid w:val="00064B99"/>
    <w:rsid w:val="000665A8"/>
    <w:rsid w:val="00067684"/>
    <w:rsid w:val="00067786"/>
    <w:rsid w:val="00074BA9"/>
    <w:rsid w:val="00077EE3"/>
    <w:rsid w:val="00090456"/>
    <w:rsid w:val="000A0555"/>
    <w:rsid w:val="000A1DA8"/>
    <w:rsid w:val="000A3E91"/>
    <w:rsid w:val="000A408C"/>
    <w:rsid w:val="000A5427"/>
    <w:rsid w:val="000B1CD5"/>
    <w:rsid w:val="000B2566"/>
    <w:rsid w:val="000C2D07"/>
    <w:rsid w:val="000C3A39"/>
    <w:rsid w:val="000C3F79"/>
    <w:rsid w:val="000C755E"/>
    <w:rsid w:val="000D151B"/>
    <w:rsid w:val="000D17D5"/>
    <w:rsid w:val="000D3A21"/>
    <w:rsid w:val="000D6DC0"/>
    <w:rsid w:val="000E24AD"/>
    <w:rsid w:val="000F12C0"/>
    <w:rsid w:val="000F3165"/>
    <w:rsid w:val="000F46C3"/>
    <w:rsid w:val="000F73AE"/>
    <w:rsid w:val="00102D25"/>
    <w:rsid w:val="001108ED"/>
    <w:rsid w:val="00110FFB"/>
    <w:rsid w:val="001111B1"/>
    <w:rsid w:val="00111FC2"/>
    <w:rsid w:val="001151C6"/>
    <w:rsid w:val="001201FA"/>
    <w:rsid w:val="001331B5"/>
    <w:rsid w:val="00146487"/>
    <w:rsid w:val="00152355"/>
    <w:rsid w:val="00153BCD"/>
    <w:rsid w:val="00160D02"/>
    <w:rsid w:val="00162051"/>
    <w:rsid w:val="001646D1"/>
    <w:rsid w:val="001669B1"/>
    <w:rsid w:val="00171F3A"/>
    <w:rsid w:val="00172A27"/>
    <w:rsid w:val="0018088C"/>
    <w:rsid w:val="00182B8F"/>
    <w:rsid w:val="00182D7D"/>
    <w:rsid w:val="00186142"/>
    <w:rsid w:val="00186E6E"/>
    <w:rsid w:val="001903C0"/>
    <w:rsid w:val="00190D9D"/>
    <w:rsid w:val="001969C9"/>
    <w:rsid w:val="001B3BAB"/>
    <w:rsid w:val="001B6664"/>
    <w:rsid w:val="001C1716"/>
    <w:rsid w:val="001C1735"/>
    <w:rsid w:val="001C24D6"/>
    <w:rsid w:val="001C3522"/>
    <w:rsid w:val="001C4EF3"/>
    <w:rsid w:val="001C57AA"/>
    <w:rsid w:val="001D189B"/>
    <w:rsid w:val="001D27B0"/>
    <w:rsid w:val="001E2098"/>
    <w:rsid w:val="001E29FB"/>
    <w:rsid w:val="001E3F36"/>
    <w:rsid w:val="001F0FDB"/>
    <w:rsid w:val="001F365A"/>
    <w:rsid w:val="00204744"/>
    <w:rsid w:val="00211EA9"/>
    <w:rsid w:val="0021435D"/>
    <w:rsid w:val="00221F52"/>
    <w:rsid w:val="0022265F"/>
    <w:rsid w:val="00222A74"/>
    <w:rsid w:val="00224DEE"/>
    <w:rsid w:val="00231F74"/>
    <w:rsid w:val="00234E82"/>
    <w:rsid w:val="00235AD7"/>
    <w:rsid w:val="002404A5"/>
    <w:rsid w:val="002434F1"/>
    <w:rsid w:val="00254E76"/>
    <w:rsid w:val="002647F8"/>
    <w:rsid w:val="00264D32"/>
    <w:rsid w:val="00265B24"/>
    <w:rsid w:val="00274042"/>
    <w:rsid w:val="00295B72"/>
    <w:rsid w:val="002965A0"/>
    <w:rsid w:val="00297300"/>
    <w:rsid w:val="002974C9"/>
    <w:rsid w:val="002978AB"/>
    <w:rsid w:val="002A3157"/>
    <w:rsid w:val="002A33AD"/>
    <w:rsid w:val="002A5845"/>
    <w:rsid w:val="002A6DF2"/>
    <w:rsid w:val="002B18FD"/>
    <w:rsid w:val="002B4267"/>
    <w:rsid w:val="002C1322"/>
    <w:rsid w:val="002C1700"/>
    <w:rsid w:val="002C5808"/>
    <w:rsid w:val="002C6FC3"/>
    <w:rsid w:val="002D148A"/>
    <w:rsid w:val="002D7A37"/>
    <w:rsid w:val="002E649E"/>
    <w:rsid w:val="002F1430"/>
    <w:rsid w:val="002F586D"/>
    <w:rsid w:val="00300418"/>
    <w:rsid w:val="00307519"/>
    <w:rsid w:val="00310561"/>
    <w:rsid w:val="00314279"/>
    <w:rsid w:val="00324031"/>
    <w:rsid w:val="003245AD"/>
    <w:rsid w:val="0032598F"/>
    <w:rsid w:val="003301B9"/>
    <w:rsid w:val="00330464"/>
    <w:rsid w:val="003352B2"/>
    <w:rsid w:val="003367B4"/>
    <w:rsid w:val="00337BA5"/>
    <w:rsid w:val="0034041F"/>
    <w:rsid w:val="003432D7"/>
    <w:rsid w:val="00354642"/>
    <w:rsid w:val="00356378"/>
    <w:rsid w:val="0036278D"/>
    <w:rsid w:val="00364AE2"/>
    <w:rsid w:val="00366E9A"/>
    <w:rsid w:val="00367DFF"/>
    <w:rsid w:val="00370635"/>
    <w:rsid w:val="00372211"/>
    <w:rsid w:val="0037316A"/>
    <w:rsid w:val="0037664B"/>
    <w:rsid w:val="00377480"/>
    <w:rsid w:val="00381222"/>
    <w:rsid w:val="0039429A"/>
    <w:rsid w:val="00397651"/>
    <w:rsid w:val="00397E0A"/>
    <w:rsid w:val="00397F38"/>
    <w:rsid w:val="003A048D"/>
    <w:rsid w:val="003A79D4"/>
    <w:rsid w:val="003B3C8D"/>
    <w:rsid w:val="003B4392"/>
    <w:rsid w:val="003B45C4"/>
    <w:rsid w:val="003B63B3"/>
    <w:rsid w:val="003C3667"/>
    <w:rsid w:val="003C6A70"/>
    <w:rsid w:val="003D028C"/>
    <w:rsid w:val="003D0331"/>
    <w:rsid w:val="003D10D4"/>
    <w:rsid w:val="003D2127"/>
    <w:rsid w:val="003E2D73"/>
    <w:rsid w:val="003F1CC2"/>
    <w:rsid w:val="003F2CD6"/>
    <w:rsid w:val="003F30F8"/>
    <w:rsid w:val="00415C58"/>
    <w:rsid w:val="00415FA5"/>
    <w:rsid w:val="00420C14"/>
    <w:rsid w:val="00421CA9"/>
    <w:rsid w:val="004274EE"/>
    <w:rsid w:val="0043019B"/>
    <w:rsid w:val="004330BD"/>
    <w:rsid w:val="004335AA"/>
    <w:rsid w:val="0043506E"/>
    <w:rsid w:val="004405D7"/>
    <w:rsid w:val="0044071F"/>
    <w:rsid w:val="00445C6A"/>
    <w:rsid w:val="00446992"/>
    <w:rsid w:val="00447A95"/>
    <w:rsid w:val="00447D46"/>
    <w:rsid w:val="00450464"/>
    <w:rsid w:val="00454F3B"/>
    <w:rsid w:val="00457864"/>
    <w:rsid w:val="00460FD6"/>
    <w:rsid w:val="004700D4"/>
    <w:rsid w:val="00473626"/>
    <w:rsid w:val="0048095D"/>
    <w:rsid w:val="00480D6F"/>
    <w:rsid w:val="004857EB"/>
    <w:rsid w:val="00487ECC"/>
    <w:rsid w:val="004B0EBD"/>
    <w:rsid w:val="004C1F5C"/>
    <w:rsid w:val="004C3A0D"/>
    <w:rsid w:val="004C6276"/>
    <w:rsid w:val="004E36C8"/>
    <w:rsid w:val="004E779D"/>
    <w:rsid w:val="004F1942"/>
    <w:rsid w:val="004F261D"/>
    <w:rsid w:val="004F3706"/>
    <w:rsid w:val="004F5A33"/>
    <w:rsid w:val="004F7761"/>
    <w:rsid w:val="00500B38"/>
    <w:rsid w:val="00500C64"/>
    <w:rsid w:val="00500EDE"/>
    <w:rsid w:val="005038E9"/>
    <w:rsid w:val="00507900"/>
    <w:rsid w:val="00511B2C"/>
    <w:rsid w:val="005134C7"/>
    <w:rsid w:val="00522EAA"/>
    <w:rsid w:val="005266EA"/>
    <w:rsid w:val="00530404"/>
    <w:rsid w:val="005321E9"/>
    <w:rsid w:val="00532D0F"/>
    <w:rsid w:val="00532E68"/>
    <w:rsid w:val="005340EF"/>
    <w:rsid w:val="005367AD"/>
    <w:rsid w:val="00537F32"/>
    <w:rsid w:val="0054180B"/>
    <w:rsid w:val="00546706"/>
    <w:rsid w:val="005519D0"/>
    <w:rsid w:val="00553913"/>
    <w:rsid w:val="00553F4B"/>
    <w:rsid w:val="0056238C"/>
    <w:rsid w:val="00564AFD"/>
    <w:rsid w:val="005729C9"/>
    <w:rsid w:val="00576FDC"/>
    <w:rsid w:val="00577A95"/>
    <w:rsid w:val="00577C21"/>
    <w:rsid w:val="005827D1"/>
    <w:rsid w:val="00587734"/>
    <w:rsid w:val="00591D6C"/>
    <w:rsid w:val="00591D81"/>
    <w:rsid w:val="005A16D9"/>
    <w:rsid w:val="005A1BD9"/>
    <w:rsid w:val="005A3CBB"/>
    <w:rsid w:val="005A50AC"/>
    <w:rsid w:val="005A6CA0"/>
    <w:rsid w:val="005A72CA"/>
    <w:rsid w:val="005B35CA"/>
    <w:rsid w:val="005B704F"/>
    <w:rsid w:val="005B79DC"/>
    <w:rsid w:val="005C31DE"/>
    <w:rsid w:val="005C4614"/>
    <w:rsid w:val="005C52C5"/>
    <w:rsid w:val="005E1759"/>
    <w:rsid w:val="005E3073"/>
    <w:rsid w:val="005F1CA0"/>
    <w:rsid w:val="005F2BEC"/>
    <w:rsid w:val="005F2D0A"/>
    <w:rsid w:val="005F3083"/>
    <w:rsid w:val="005F33EB"/>
    <w:rsid w:val="005F55D1"/>
    <w:rsid w:val="005F7010"/>
    <w:rsid w:val="005F7077"/>
    <w:rsid w:val="00600B4B"/>
    <w:rsid w:val="00600F16"/>
    <w:rsid w:val="00610209"/>
    <w:rsid w:val="00610AF1"/>
    <w:rsid w:val="00611297"/>
    <w:rsid w:val="006122E7"/>
    <w:rsid w:val="006149D1"/>
    <w:rsid w:val="006173EA"/>
    <w:rsid w:val="006233D6"/>
    <w:rsid w:val="006268CC"/>
    <w:rsid w:val="0062773C"/>
    <w:rsid w:val="00632763"/>
    <w:rsid w:val="0063358A"/>
    <w:rsid w:val="00633B35"/>
    <w:rsid w:val="00635DF6"/>
    <w:rsid w:val="00644377"/>
    <w:rsid w:val="00646B35"/>
    <w:rsid w:val="00666939"/>
    <w:rsid w:val="00667B08"/>
    <w:rsid w:val="00670E12"/>
    <w:rsid w:val="00674408"/>
    <w:rsid w:val="006903A4"/>
    <w:rsid w:val="006967D4"/>
    <w:rsid w:val="006A55BD"/>
    <w:rsid w:val="006A69F3"/>
    <w:rsid w:val="006B0FD3"/>
    <w:rsid w:val="006B584C"/>
    <w:rsid w:val="006B5FE5"/>
    <w:rsid w:val="006B73EB"/>
    <w:rsid w:val="006C399A"/>
    <w:rsid w:val="006D0145"/>
    <w:rsid w:val="006D14E4"/>
    <w:rsid w:val="006D55C2"/>
    <w:rsid w:val="006D58B1"/>
    <w:rsid w:val="006E6D55"/>
    <w:rsid w:val="006F01F5"/>
    <w:rsid w:val="006F094B"/>
    <w:rsid w:val="006F2FFC"/>
    <w:rsid w:val="006F30B3"/>
    <w:rsid w:val="006F4ED9"/>
    <w:rsid w:val="00702C02"/>
    <w:rsid w:val="007042C9"/>
    <w:rsid w:val="00704BF8"/>
    <w:rsid w:val="007070E2"/>
    <w:rsid w:val="00712499"/>
    <w:rsid w:val="00713037"/>
    <w:rsid w:val="00717237"/>
    <w:rsid w:val="0072196F"/>
    <w:rsid w:val="007243E4"/>
    <w:rsid w:val="007266F0"/>
    <w:rsid w:val="007314BB"/>
    <w:rsid w:val="007354D8"/>
    <w:rsid w:val="007423ED"/>
    <w:rsid w:val="007456B4"/>
    <w:rsid w:val="007458E2"/>
    <w:rsid w:val="0075137B"/>
    <w:rsid w:val="0076603D"/>
    <w:rsid w:val="00767031"/>
    <w:rsid w:val="00771BD3"/>
    <w:rsid w:val="00774EA0"/>
    <w:rsid w:val="0077587C"/>
    <w:rsid w:val="00775F7E"/>
    <w:rsid w:val="00784536"/>
    <w:rsid w:val="00787CF8"/>
    <w:rsid w:val="00791461"/>
    <w:rsid w:val="007916BC"/>
    <w:rsid w:val="007A0B1D"/>
    <w:rsid w:val="007A4BBE"/>
    <w:rsid w:val="007B148D"/>
    <w:rsid w:val="007B278E"/>
    <w:rsid w:val="007B3916"/>
    <w:rsid w:val="007B5913"/>
    <w:rsid w:val="007B6223"/>
    <w:rsid w:val="007B7AF1"/>
    <w:rsid w:val="007B7DE0"/>
    <w:rsid w:val="007C05F5"/>
    <w:rsid w:val="007C25A2"/>
    <w:rsid w:val="007D168A"/>
    <w:rsid w:val="007D48DF"/>
    <w:rsid w:val="007D6C01"/>
    <w:rsid w:val="007E5CED"/>
    <w:rsid w:val="007E6F20"/>
    <w:rsid w:val="007F2DB1"/>
    <w:rsid w:val="0080052B"/>
    <w:rsid w:val="008042CB"/>
    <w:rsid w:val="00806622"/>
    <w:rsid w:val="0081031E"/>
    <w:rsid w:val="008131EE"/>
    <w:rsid w:val="00824AFA"/>
    <w:rsid w:val="00827BA3"/>
    <w:rsid w:val="00827CFB"/>
    <w:rsid w:val="00847A15"/>
    <w:rsid w:val="0085113B"/>
    <w:rsid w:val="00877211"/>
    <w:rsid w:val="00894AC1"/>
    <w:rsid w:val="00896D55"/>
    <w:rsid w:val="008A03EB"/>
    <w:rsid w:val="008B47D9"/>
    <w:rsid w:val="008C7B96"/>
    <w:rsid w:val="008D10DB"/>
    <w:rsid w:val="008D1D8D"/>
    <w:rsid w:val="008D3CF5"/>
    <w:rsid w:val="008D4F18"/>
    <w:rsid w:val="008F10F1"/>
    <w:rsid w:val="0090288F"/>
    <w:rsid w:val="0090459D"/>
    <w:rsid w:val="009125DB"/>
    <w:rsid w:val="00912636"/>
    <w:rsid w:val="009237C3"/>
    <w:rsid w:val="00924737"/>
    <w:rsid w:val="0092533E"/>
    <w:rsid w:val="009255CB"/>
    <w:rsid w:val="009346CC"/>
    <w:rsid w:val="00936540"/>
    <w:rsid w:val="00936F4D"/>
    <w:rsid w:val="009371C2"/>
    <w:rsid w:val="00940C9B"/>
    <w:rsid w:val="00942481"/>
    <w:rsid w:val="00947ABA"/>
    <w:rsid w:val="00950CCE"/>
    <w:rsid w:val="009526D4"/>
    <w:rsid w:val="00954D7A"/>
    <w:rsid w:val="00956E35"/>
    <w:rsid w:val="00962CE4"/>
    <w:rsid w:val="00962EB6"/>
    <w:rsid w:val="0096494F"/>
    <w:rsid w:val="0096502C"/>
    <w:rsid w:val="009847AE"/>
    <w:rsid w:val="00990B4E"/>
    <w:rsid w:val="00991B1C"/>
    <w:rsid w:val="00993C8F"/>
    <w:rsid w:val="009973AD"/>
    <w:rsid w:val="00997DF0"/>
    <w:rsid w:val="009A0472"/>
    <w:rsid w:val="009A0FB8"/>
    <w:rsid w:val="009A196B"/>
    <w:rsid w:val="009A27A9"/>
    <w:rsid w:val="009A3116"/>
    <w:rsid w:val="009B1A28"/>
    <w:rsid w:val="009B2C9A"/>
    <w:rsid w:val="009B7389"/>
    <w:rsid w:val="009C204F"/>
    <w:rsid w:val="009C27D1"/>
    <w:rsid w:val="009C29B0"/>
    <w:rsid w:val="009C5EE2"/>
    <w:rsid w:val="009C6947"/>
    <w:rsid w:val="009D185F"/>
    <w:rsid w:val="009D348F"/>
    <w:rsid w:val="009D6234"/>
    <w:rsid w:val="009D67F1"/>
    <w:rsid w:val="009D78E2"/>
    <w:rsid w:val="009E06D8"/>
    <w:rsid w:val="009E7EB4"/>
    <w:rsid w:val="009F674C"/>
    <w:rsid w:val="00A05A21"/>
    <w:rsid w:val="00A06065"/>
    <w:rsid w:val="00A06AF4"/>
    <w:rsid w:val="00A07E83"/>
    <w:rsid w:val="00A119CA"/>
    <w:rsid w:val="00A14602"/>
    <w:rsid w:val="00A234FC"/>
    <w:rsid w:val="00A2402A"/>
    <w:rsid w:val="00A24E45"/>
    <w:rsid w:val="00A34F17"/>
    <w:rsid w:val="00A4025A"/>
    <w:rsid w:val="00A41676"/>
    <w:rsid w:val="00A420AF"/>
    <w:rsid w:val="00A4384B"/>
    <w:rsid w:val="00A45160"/>
    <w:rsid w:val="00A45500"/>
    <w:rsid w:val="00A45A41"/>
    <w:rsid w:val="00A46879"/>
    <w:rsid w:val="00A50BD3"/>
    <w:rsid w:val="00A511F8"/>
    <w:rsid w:val="00A5459B"/>
    <w:rsid w:val="00A6027A"/>
    <w:rsid w:val="00A6378D"/>
    <w:rsid w:val="00A67658"/>
    <w:rsid w:val="00A744C0"/>
    <w:rsid w:val="00A7727E"/>
    <w:rsid w:val="00A80A46"/>
    <w:rsid w:val="00A817DA"/>
    <w:rsid w:val="00A83AEE"/>
    <w:rsid w:val="00A92D90"/>
    <w:rsid w:val="00AA27B1"/>
    <w:rsid w:val="00AA595F"/>
    <w:rsid w:val="00AA5CFE"/>
    <w:rsid w:val="00AB30DA"/>
    <w:rsid w:val="00AB4F01"/>
    <w:rsid w:val="00AB7935"/>
    <w:rsid w:val="00AC2B3F"/>
    <w:rsid w:val="00AD2608"/>
    <w:rsid w:val="00AD2FAC"/>
    <w:rsid w:val="00AE16C4"/>
    <w:rsid w:val="00AE21DF"/>
    <w:rsid w:val="00AE2966"/>
    <w:rsid w:val="00AE4A2B"/>
    <w:rsid w:val="00AF296D"/>
    <w:rsid w:val="00AF7017"/>
    <w:rsid w:val="00B00C06"/>
    <w:rsid w:val="00B02450"/>
    <w:rsid w:val="00B1403F"/>
    <w:rsid w:val="00B1461A"/>
    <w:rsid w:val="00B206C5"/>
    <w:rsid w:val="00B223BE"/>
    <w:rsid w:val="00B24A28"/>
    <w:rsid w:val="00B24F2F"/>
    <w:rsid w:val="00B27CB8"/>
    <w:rsid w:val="00B34D51"/>
    <w:rsid w:val="00B35FBF"/>
    <w:rsid w:val="00B42DAE"/>
    <w:rsid w:val="00B43387"/>
    <w:rsid w:val="00B44CA3"/>
    <w:rsid w:val="00B45F02"/>
    <w:rsid w:val="00B536ED"/>
    <w:rsid w:val="00B620E7"/>
    <w:rsid w:val="00B66249"/>
    <w:rsid w:val="00B70DAF"/>
    <w:rsid w:val="00B724ED"/>
    <w:rsid w:val="00B733B6"/>
    <w:rsid w:val="00B74661"/>
    <w:rsid w:val="00B76CD0"/>
    <w:rsid w:val="00B811C3"/>
    <w:rsid w:val="00B816D9"/>
    <w:rsid w:val="00B83B70"/>
    <w:rsid w:val="00B94BD1"/>
    <w:rsid w:val="00B960CC"/>
    <w:rsid w:val="00B977CB"/>
    <w:rsid w:val="00BA0FB8"/>
    <w:rsid w:val="00BA586F"/>
    <w:rsid w:val="00BB0D1F"/>
    <w:rsid w:val="00BB0F94"/>
    <w:rsid w:val="00BB1470"/>
    <w:rsid w:val="00BB73FD"/>
    <w:rsid w:val="00BC51F5"/>
    <w:rsid w:val="00BC5E69"/>
    <w:rsid w:val="00BC7DCF"/>
    <w:rsid w:val="00BD6ED5"/>
    <w:rsid w:val="00BE23F2"/>
    <w:rsid w:val="00BF1CC1"/>
    <w:rsid w:val="00BF5958"/>
    <w:rsid w:val="00C02F1F"/>
    <w:rsid w:val="00C03663"/>
    <w:rsid w:val="00C04756"/>
    <w:rsid w:val="00C047A7"/>
    <w:rsid w:val="00C11D98"/>
    <w:rsid w:val="00C15B0F"/>
    <w:rsid w:val="00C2204F"/>
    <w:rsid w:val="00C255F1"/>
    <w:rsid w:val="00C26691"/>
    <w:rsid w:val="00C32822"/>
    <w:rsid w:val="00C33869"/>
    <w:rsid w:val="00C34DE6"/>
    <w:rsid w:val="00C369D3"/>
    <w:rsid w:val="00C46894"/>
    <w:rsid w:val="00C47F73"/>
    <w:rsid w:val="00C50F9D"/>
    <w:rsid w:val="00C51803"/>
    <w:rsid w:val="00C5584E"/>
    <w:rsid w:val="00C6117B"/>
    <w:rsid w:val="00C61EBF"/>
    <w:rsid w:val="00C631C8"/>
    <w:rsid w:val="00C660FD"/>
    <w:rsid w:val="00C70EF0"/>
    <w:rsid w:val="00C72F48"/>
    <w:rsid w:val="00C73B47"/>
    <w:rsid w:val="00C74118"/>
    <w:rsid w:val="00C84D86"/>
    <w:rsid w:val="00C85592"/>
    <w:rsid w:val="00C86A78"/>
    <w:rsid w:val="00C9571D"/>
    <w:rsid w:val="00C97F46"/>
    <w:rsid w:val="00CA74B6"/>
    <w:rsid w:val="00CB0DB8"/>
    <w:rsid w:val="00CB2507"/>
    <w:rsid w:val="00CB71A4"/>
    <w:rsid w:val="00CC13A9"/>
    <w:rsid w:val="00CC4F28"/>
    <w:rsid w:val="00CD439A"/>
    <w:rsid w:val="00CD7EDC"/>
    <w:rsid w:val="00CE17D5"/>
    <w:rsid w:val="00CE244E"/>
    <w:rsid w:val="00CE3CB3"/>
    <w:rsid w:val="00CE5CE8"/>
    <w:rsid w:val="00CF0788"/>
    <w:rsid w:val="00CF240B"/>
    <w:rsid w:val="00CF4D77"/>
    <w:rsid w:val="00D04532"/>
    <w:rsid w:val="00D05B73"/>
    <w:rsid w:val="00D06591"/>
    <w:rsid w:val="00D071CD"/>
    <w:rsid w:val="00D07906"/>
    <w:rsid w:val="00D124F5"/>
    <w:rsid w:val="00D165D2"/>
    <w:rsid w:val="00D165F7"/>
    <w:rsid w:val="00D254C7"/>
    <w:rsid w:val="00D328C6"/>
    <w:rsid w:val="00D3328D"/>
    <w:rsid w:val="00D33719"/>
    <w:rsid w:val="00D62BD9"/>
    <w:rsid w:val="00D66B3C"/>
    <w:rsid w:val="00D7139B"/>
    <w:rsid w:val="00D733D7"/>
    <w:rsid w:val="00D76AAE"/>
    <w:rsid w:val="00D860C7"/>
    <w:rsid w:val="00DA0146"/>
    <w:rsid w:val="00DA0256"/>
    <w:rsid w:val="00DA48F9"/>
    <w:rsid w:val="00DA5663"/>
    <w:rsid w:val="00DB2BC9"/>
    <w:rsid w:val="00DB3198"/>
    <w:rsid w:val="00DD7A93"/>
    <w:rsid w:val="00DE3DDC"/>
    <w:rsid w:val="00DE64C3"/>
    <w:rsid w:val="00DF6F45"/>
    <w:rsid w:val="00E0127F"/>
    <w:rsid w:val="00E03E36"/>
    <w:rsid w:val="00E10B27"/>
    <w:rsid w:val="00E11F22"/>
    <w:rsid w:val="00E12202"/>
    <w:rsid w:val="00E148D7"/>
    <w:rsid w:val="00E16BF7"/>
    <w:rsid w:val="00E16E29"/>
    <w:rsid w:val="00E21101"/>
    <w:rsid w:val="00E22746"/>
    <w:rsid w:val="00E265EB"/>
    <w:rsid w:val="00E272BB"/>
    <w:rsid w:val="00E37F39"/>
    <w:rsid w:val="00E41BD2"/>
    <w:rsid w:val="00E45361"/>
    <w:rsid w:val="00E478C3"/>
    <w:rsid w:val="00E55C9F"/>
    <w:rsid w:val="00E66ADA"/>
    <w:rsid w:val="00E72476"/>
    <w:rsid w:val="00E7381D"/>
    <w:rsid w:val="00E751A4"/>
    <w:rsid w:val="00E841F4"/>
    <w:rsid w:val="00E850C7"/>
    <w:rsid w:val="00E9123B"/>
    <w:rsid w:val="00E91CF8"/>
    <w:rsid w:val="00E95825"/>
    <w:rsid w:val="00E977EE"/>
    <w:rsid w:val="00EA2C93"/>
    <w:rsid w:val="00EA57DF"/>
    <w:rsid w:val="00EC2456"/>
    <w:rsid w:val="00EC73BC"/>
    <w:rsid w:val="00ED1031"/>
    <w:rsid w:val="00ED2571"/>
    <w:rsid w:val="00ED53E8"/>
    <w:rsid w:val="00ED6989"/>
    <w:rsid w:val="00EE0C9F"/>
    <w:rsid w:val="00EE15AD"/>
    <w:rsid w:val="00EE17AF"/>
    <w:rsid w:val="00EE1BB8"/>
    <w:rsid w:val="00EE1C97"/>
    <w:rsid w:val="00EE1EE3"/>
    <w:rsid w:val="00EF01F5"/>
    <w:rsid w:val="00EF429E"/>
    <w:rsid w:val="00EF4388"/>
    <w:rsid w:val="00F0217C"/>
    <w:rsid w:val="00F04B93"/>
    <w:rsid w:val="00F0579D"/>
    <w:rsid w:val="00F06216"/>
    <w:rsid w:val="00F13DFB"/>
    <w:rsid w:val="00F23397"/>
    <w:rsid w:val="00F24C06"/>
    <w:rsid w:val="00F2659E"/>
    <w:rsid w:val="00F341D4"/>
    <w:rsid w:val="00F439B6"/>
    <w:rsid w:val="00F4414F"/>
    <w:rsid w:val="00F44686"/>
    <w:rsid w:val="00F62C50"/>
    <w:rsid w:val="00F66B90"/>
    <w:rsid w:val="00F67B7D"/>
    <w:rsid w:val="00F717C8"/>
    <w:rsid w:val="00F7756A"/>
    <w:rsid w:val="00F82A50"/>
    <w:rsid w:val="00F832AE"/>
    <w:rsid w:val="00F851DC"/>
    <w:rsid w:val="00F853A3"/>
    <w:rsid w:val="00F85C60"/>
    <w:rsid w:val="00F87043"/>
    <w:rsid w:val="00F927A7"/>
    <w:rsid w:val="00F94B97"/>
    <w:rsid w:val="00F95DD6"/>
    <w:rsid w:val="00FA3C38"/>
    <w:rsid w:val="00FA6075"/>
    <w:rsid w:val="00FC0890"/>
    <w:rsid w:val="00FC3C00"/>
    <w:rsid w:val="00FC619C"/>
    <w:rsid w:val="00FC6807"/>
    <w:rsid w:val="00FD3D3F"/>
    <w:rsid w:val="00FD5CF1"/>
    <w:rsid w:val="00FE1BA5"/>
    <w:rsid w:val="00FE3E93"/>
    <w:rsid w:val="00FE528D"/>
    <w:rsid w:val="00FF2784"/>
    <w:rsid w:val="06823D94"/>
    <w:rsid w:val="1988703C"/>
    <w:rsid w:val="1C76256E"/>
    <w:rsid w:val="1F5B3959"/>
    <w:rsid w:val="2E7745CB"/>
    <w:rsid w:val="3C1253A5"/>
    <w:rsid w:val="3D62281E"/>
    <w:rsid w:val="4C7F9480"/>
    <w:rsid w:val="7DD945D4"/>
    <w:rsid w:val="7FFF5273"/>
    <w:rsid w:val="CE7F1C2E"/>
    <w:rsid w:val="E63E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
    <w:pPr>
      <w:keepNext/>
      <w:jc w:val="center"/>
      <w:outlineLvl w:val="0"/>
    </w:pPr>
    <w:rPr>
      <w:sz w:val="28"/>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Body Text"/>
    <w:basedOn w:val="1"/>
    <w:qFormat/>
    <w:uiPriority w:val="0"/>
    <w:pPr>
      <w:spacing w:after="120"/>
    </w:pPr>
  </w:style>
  <w:style w:type="paragraph" w:styleId="5">
    <w:name w:val="Plain Text"/>
    <w:basedOn w:val="1"/>
    <w:unhideWhenUsed/>
    <w:qFormat/>
    <w:uiPriority w:val="99"/>
    <w:rPr>
      <w:rFonts w:ascii="宋体" w:hAnsi="Courier New"/>
      <w:kern w:val="0"/>
      <w:sz w:val="20"/>
      <w:szCs w:val="21"/>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100" w:beforeAutospacing="1" w:after="100" w:afterAutospacing="1"/>
      <w:jc w:val="left"/>
    </w:pPr>
    <w:rPr>
      <w:rFonts w:ascii="Calibri" w:hAnsi="Calibri"/>
      <w:kern w:val="0"/>
      <w:sz w:val="24"/>
      <w:szCs w:val="24"/>
    </w:rPr>
  </w:style>
  <w:style w:type="paragraph" w:styleId="9">
    <w:name w:val="Body Text First Indent"/>
    <w:basedOn w:val="4"/>
    <w:qFormat/>
    <w:uiPriority w:val="0"/>
    <w:pPr>
      <w:ind w:firstLine="420" w:firstLineChars="100"/>
    </w:pPr>
    <w:rPr>
      <w:snapToGrid w:val="0"/>
      <w:kern w:val="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Char3"/>
    <w:basedOn w:val="3"/>
    <w:qFormat/>
    <w:uiPriority w:val="0"/>
    <w:rPr>
      <w:rFonts w:ascii="Tahoma" w:hAnsi="Tahoma"/>
      <w:sz w:val="24"/>
    </w:rPr>
  </w:style>
  <w:style w:type="character" w:customStyle="1" w:styleId="17">
    <w:name w:val="标题 1 字符"/>
    <w:link w:val="2"/>
    <w:qFormat/>
    <w:uiPriority w:val="9"/>
    <w:rPr>
      <w:kern w:val="2"/>
      <w:sz w:val="28"/>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脚 字符"/>
    <w:link w:val="6"/>
    <w:qFormat/>
    <w:uiPriority w:val="99"/>
    <w:rPr>
      <w:kern w:val="2"/>
      <w:sz w:val="18"/>
    </w:rPr>
  </w:style>
  <w:style w:type="paragraph" w:styleId="20">
    <w:name w:val="List Paragraph"/>
    <w:basedOn w:val="1"/>
    <w:qFormat/>
    <w:uiPriority w:val="34"/>
    <w:pPr>
      <w:ind w:firstLine="420" w:firstLineChars="200"/>
    </w:pPr>
    <w:rPr>
      <w:rFonts w:ascii="Calibri" w:hAnsi="Calibri"/>
      <w:szCs w:val="24"/>
    </w:rPr>
  </w:style>
  <w:style w:type="table" w:customStyle="1" w:styleId="21">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null3"/>
    <w:hidden/>
    <w:qFormat/>
    <w:uiPriority w:val="0"/>
    <w:rPr>
      <w:rFonts w:hint="eastAsia" w:asciiTheme="minorHAnsi" w:hAnsiTheme="minorHAnsi" w:eastAsiaTheme="minorEastAsia" w:cstheme="minorBidi"/>
      <w:lang w:val="en-US" w:eastAsia="zh-Hans" w:bidi="ar-SA"/>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 w:type="paragraph" w:customStyle="1" w:styleId="24">
    <w:name w:val="Char Char Char Char"/>
    <w:basedOn w:val="1"/>
    <w:qFormat/>
    <w:uiPriority w:val="0"/>
    <w:rPr>
      <w:szCs w:val="24"/>
    </w:rPr>
  </w:style>
  <w:style w:type="paragraph" w:customStyle="1" w:styleId="25">
    <w:name w:val="样式3"/>
    <w:basedOn w:val="5"/>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598</Words>
  <Characters>3411</Characters>
  <Lines>28</Lines>
  <Paragraphs>8</Paragraphs>
  <TotalTime>2</TotalTime>
  <ScaleCrop>false</ScaleCrop>
  <LinksUpToDate>false</LinksUpToDate>
  <CharactersWithSpaces>4001</CharactersWithSpaces>
  <Application>WPS Office_12.8.2.15107_F1E327BC-269C-435d-A152-05C5408002CA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2024-11-05T03:12:00Z</dcterms:created>
  <dc:creator>xuhuai</dc:creator>
  <cp:lastModifiedBy>xmadmin</cp:lastModifiedBy>
  <cp:lastPrinted>2024-06-20T07:56:00Z</cp:lastPrinted>
  <dcterms:modified xsi:type="dcterms:W3CDTF">2026-05-12T14:50:06Z</dcterms:modified>
  <dc:title>垂直、水平双台体切换电动振动试验系统</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2052-12.8.2.15107</vt:lpwstr>
  </property>
  <property fmtid="{D5CDD505-2E9C-101B-9397-08002B2CF9AE}" pid="3" name="ICV">
    <vt:lpwstr>F0C0DB5B00AC4FCE85A515CDFAB9FBFB_13</vt:lpwstr>
  </property>
</Properties>
</file>