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接收机</w:t>
      </w:r>
    </w:p>
    <w:p>
      <w:pPr>
        <w:pStyle w:val="null3"/>
        <w:jc w:val="center"/>
        <w:outlineLvl w:val="2"/>
      </w:pPr>
      <w:r>
        <w:rPr>
          <w:sz w:val="28"/>
          <w:b/>
        </w:rPr>
        <w:t>备案编号：</w:t>
      </w:r>
      <w:r>
        <w:rPr>
          <w:sz w:val="28"/>
          <w:b/>
        </w:rPr>
        <w:t>CGXM-2024-350201-00021[2024]00347</w:t>
      </w:r>
    </w:p>
    <w:p>
      <w:pPr>
        <w:pStyle w:val="null3"/>
        <w:jc w:val="center"/>
        <w:outlineLvl w:val="2"/>
      </w:pPr>
      <w:r>
        <w:rPr>
          <w:sz w:val="28"/>
          <w:b/>
        </w:rPr>
        <w:t>项目编号：</w:t>
      </w:r>
      <w:r>
        <w:rPr>
          <w:sz w:val="28"/>
          <w:b/>
        </w:rPr>
        <w:t>[350201]zz[GK]2024003</w:t>
      </w:r>
    </w:p>
    <w:p>
      <w:pPr>
        <w:pStyle w:val="null3"/>
        <w:jc w:val="center"/>
        <w:outlineLvl w:val="2"/>
      </w:pPr>
      <w:r>
        <w:rPr>
          <w:sz w:val="28"/>
          <w:b/>
        </w:rPr>
        <w:t>采购人：</w:t>
      </w:r>
      <w:r>
        <w:rPr>
          <w:sz w:val="28"/>
          <w:b/>
        </w:rPr>
        <w:t>厦门市产品质量监督检验院</w:t>
      </w:r>
    </w:p>
    <w:p>
      <w:pPr>
        <w:pStyle w:val="null3"/>
        <w:jc w:val="center"/>
        <w:outlineLvl w:val="2"/>
      </w:pPr>
      <w:r>
        <w:rPr>
          <w:sz w:val="28"/>
          <w:b/>
        </w:rPr>
        <w:t>代理机构：</w:t>
      </w:r>
      <w:r>
        <w:rPr>
          <w:sz w:val="28"/>
          <w:b/>
        </w:rPr>
        <w:t>中招国际招标有限公司</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中招国际招标有限公司</w:t>
      </w:r>
      <w:r>
        <w:rPr/>
        <w:t xml:space="preserve"> 采用公开招标方式组织 </w:t>
      </w:r>
      <w:r>
        <w:rPr/>
        <w:t>接收机</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CGXM-2024-350201-00021[2024]00347</w:t>
      </w:r>
    </w:p>
    <w:p>
      <w:pPr>
        <w:pStyle w:val="null3"/>
        <w:ind w:firstLine="480"/>
        <w:jc w:val="left"/>
        <w:outlineLvl w:val="2"/>
      </w:pPr>
      <w:r>
        <w:rPr>
          <w:sz w:val="28"/>
          <w:b/>
        </w:rPr>
        <w:t>2、项目编号</w:t>
      </w:r>
      <w:r>
        <w:rPr>
          <w:sz w:val="28"/>
          <w:b/>
        </w:rPr>
        <w:t>：</w:t>
      </w:r>
      <w:r>
        <w:rPr>
          <w:sz w:val="28"/>
          <w:b/>
        </w:rPr>
        <w:t>[350201]zz[GK]2024003</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本项目允许进口</w:t>
      </w:r>
    </w:p>
    <w:p>
      <w:pPr>
        <w:pStyle w:val="null3"/>
        <w:ind w:firstLine="960"/>
        <w:jc w:val="left"/>
      </w:pPr>
      <w:r>
        <w:rPr/>
        <w:t>节能产品：</w:t>
      </w:r>
      <w:r>
        <w:rPr/>
        <w:t>按照最新一期的节能产品政府采购品目清单执行</w:t>
      </w:r>
    </w:p>
    <w:p>
      <w:pPr>
        <w:pStyle w:val="null3"/>
        <w:ind w:firstLine="960"/>
        <w:jc w:val="left"/>
      </w:pPr>
      <w:r>
        <w:rPr/>
        <w:t>环境标志产品：</w:t>
      </w:r>
      <w:r>
        <w:rPr/>
        <w:t>按照最新一期的环境标志产品政府采购品目清单执行</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“信用承诺制”要求</w:t>
            </w:r>
          </w:p>
        </w:tc>
        <w:tc>
          <w:tcPr>
            <w:tcW w:type="dxa" w:w="4614"/>
          </w:tcPr>
          <w:p>
            <w:pPr>
              <w:pStyle w:val="null3"/>
              <w:jc w:val="left"/>
            </w:pPr>
            <w:r>
              <w:rPr/>
              <w:t>本项目允许采用“信用承诺制”，根据《厦门市财政局关于进一步减轻供应商参与政府采购活动成本负担的通知》（厦财采〔2021〕5号）规定，供应商提供“资格承诺函”的即可参加采购活动，在响应文件中可不再提供财务状况报告、依法缴纳税收和社会保障资金的相关证明材料。供应商应当遵循诚实信用原则，不得作虚假承诺。供应商承诺不实的，属于提供虚假材料谋取成交，应依法承担相应的法律责任。</w:t>
            </w:r>
          </w:p>
        </w:tc>
      </w:tr>
      <w:tr>
        <w:tc>
          <w:tcPr>
            <w:tcW w:type="dxa" w:w="3692"/>
          </w:tcPr>
          <w:p>
            <w:pPr>
              <w:pStyle w:val="null3"/>
              <w:jc w:val="left"/>
            </w:pPr>
            <w:r>
              <w:rPr/>
              <w:t>进口产品厂家授权</w:t>
            </w:r>
          </w:p>
        </w:tc>
        <w:tc>
          <w:tcPr>
            <w:tcW w:type="dxa" w:w="4614"/>
          </w:tcPr>
          <w:p>
            <w:pPr>
              <w:pStyle w:val="null3"/>
              <w:jc w:val="left"/>
            </w:pPr>
            <w:r>
              <w:rPr/>
              <w:t>本项目为允许采购进口产品，所投货物为进口产品的投标人为经销商的应当提供境外生产厂家直接授权书和售后服务承诺书【格式自拟】（授权书为非中文描述时须同时提供具有翻译资质的机构翻译的中文译本，翻译的中文译本应由翻译人员签名并加盖翻译机构公章，同时提供翻译人员翻译资格证书）</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厦门市产品质量监督检验院</w:t>
      </w:r>
    </w:p>
    <w:p>
      <w:pPr>
        <w:pStyle w:val="null3"/>
        <w:ind w:firstLine="960"/>
        <w:jc w:val="left"/>
      </w:pPr>
      <w:r>
        <w:rPr/>
        <w:t xml:space="preserve"> 地址： </w:t>
      </w:r>
      <w:r>
        <w:rPr/>
        <w:t>福建省厦门市思明区湖滨南路170号三楼</w:t>
      </w:r>
    </w:p>
    <w:p>
      <w:pPr>
        <w:pStyle w:val="null3"/>
        <w:jc w:val="left"/>
      </w:pPr>
      <w:r>
        <w:rPr/>
        <w:t xml:space="preserve"> 邮编： </w:t>
      </w:r>
      <w:r>
        <w:rPr/>
        <w:t>361000</w:t>
      </w:r>
    </w:p>
    <w:p>
      <w:pPr>
        <w:pStyle w:val="null3"/>
        <w:jc w:val="left"/>
      </w:pPr>
      <w:r>
        <w:rPr/>
        <w:t xml:space="preserve"> 联系人： </w:t>
      </w:r>
      <w:r>
        <w:rPr/>
        <w:t>吴金泰</w:t>
      </w:r>
    </w:p>
    <w:p>
      <w:pPr>
        <w:pStyle w:val="null3"/>
        <w:jc w:val="left"/>
      </w:pPr>
      <w:r>
        <w:rPr/>
        <w:t xml:space="preserve"> 联系电话： </w:t>
      </w:r>
      <w:r>
        <w:rPr/>
        <w:t>0592-2699760</w:t>
      </w:r>
    </w:p>
    <w:p>
      <w:pPr>
        <w:pStyle w:val="null3"/>
        <w:ind w:firstLine="480"/>
        <w:jc w:val="left"/>
        <w:outlineLvl w:val="2"/>
      </w:pPr>
      <w:r>
        <w:rPr>
          <w:sz w:val="28"/>
          <w:b/>
        </w:rPr>
        <w:t>12、代理机构</w:t>
      </w:r>
      <w:r>
        <w:rPr>
          <w:sz w:val="28"/>
          <w:b/>
        </w:rPr>
        <w:t>：</w:t>
      </w:r>
      <w:r>
        <w:rPr>
          <w:sz w:val="28"/>
          <w:b/>
        </w:rPr>
        <w:t>中招国际招标有限公司</w:t>
      </w:r>
    </w:p>
    <w:p>
      <w:pPr>
        <w:pStyle w:val="null3"/>
        <w:ind w:firstLine="960"/>
        <w:jc w:val="both"/>
      </w:pPr>
      <w:r>
        <w:rPr/>
        <w:t xml:space="preserve"> 地址： </w:t>
      </w:r>
      <w:r>
        <w:rPr/>
        <w:t>北京市海淀区学院南路62号院1号楼6层 (601-615室) 、9层 (903-915室)</w:t>
      </w:r>
    </w:p>
    <w:p>
      <w:pPr>
        <w:pStyle w:val="null3"/>
        <w:jc w:val="both"/>
      </w:pPr>
      <w:r>
        <w:rPr/>
        <w:t xml:space="preserve"> 邮编： </w:t>
      </w:r>
      <w:r>
        <w:rPr/>
        <w:t>100081</w:t>
      </w:r>
    </w:p>
    <w:p>
      <w:pPr>
        <w:pStyle w:val="null3"/>
        <w:jc w:val="both"/>
      </w:pPr>
      <w:r>
        <w:rPr/>
        <w:t xml:space="preserve"> 联系人： </w:t>
      </w:r>
      <w:r>
        <w:rPr/>
        <w:t>黄妃</w:t>
      </w:r>
    </w:p>
    <w:p>
      <w:pPr>
        <w:pStyle w:val="null3"/>
        <w:jc w:val="both"/>
      </w:pPr>
      <w:r>
        <w:rPr/>
        <w:t xml:space="preserve"> 联系电话： </w:t>
      </w:r>
      <w:r>
        <w:rPr/>
        <w:t>18065091050</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中招国际招标有限公司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3,800,000.00</w:t>
      </w:r>
    </w:p>
    <w:p>
      <w:pPr>
        <w:pStyle w:val="null3"/>
        <w:jc w:val="left"/>
      </w:pPr>
      <w:r>
        <w:rPr/>
        <w:t>采购包最高限价（元）: 3,800,000.00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接收机</w:t>
            </w:r>
          </w:p>
        </w:tc>
        <w:tc>
          <w:tcPr>
            <w:tcW w:type="dxa" w:w="1187"/>
          </w:tcPr>
          <w:p>
            <w:pPr>
              <w:pStyle w:val="null3"/>
              <w:jc w:val="right"/>
            </w:pPr>
            <w:r>
              <w:rPr/>
              <w:t>3.00</w:t>
            </w:r>
          </w:p>
        </w:tc>
        <w:tc>
          <w:tcPr>
            <w:tcW w:type="dxa" w:w="1187"/>
          </w:tcPr>
          <w:p>
            <w:pPr>
              <w:pStyle w:val="null3"/>
              <w:jc w:val="right"/>
            </w:pPr>
            <w:r>
              <w:rPr/>
              <w:t>3,800,000.00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是</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180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采购包1：3名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无</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中招国际招标有限公司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厦门市采购监督管理办公室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以采购包的中标总金额为准，按差额定率累进法计取：（0，100万元]，1.50%；（100万元，500万元]，1.10%。（2）代理服务费由中标人在领取中标通知书的同时，以转账方式一次性缴清。（3）符合中小企业政策规定且资料提供完整的企业，成交后可享受服务费下浮10%的优惠。（4）代理服务费收取账号：开户名称：中招国际招标有限公司福建分公司；开户银行：中国工商银行福州市五四支行；银行账号：1402020309006951993</w:t>
            </w:r>
          </w:p>
          <w:p>
            <w:pPr>
              <w:pStyle w:val="null3"/>
              <w:jc w:val="left"/>
            </w:pPr>
            <w:r>
              <w:rPr/>
              <w:t xml:space="preserve"> (2)其他：</w:t>
            </w:r>
          </w:p>
          <w:p>
            <w:pPr>
              <w:pStyle w:val="null3"/>
              <w:jc w:val="left"/>
            </w:pPr>
            <w:r>
              <w:rPr/>
              <w:t>①本项目在线解密时间暂定为30分钟，未在规定的时间内解密的视为未参加本次投标。②本项目推荐3名中标候选供应商。③质疑受理的其它要求：投标人在递交质疑函时除应提供本招标文件规定的相关材料外，还须提供福建省政府采购网上公开信息系统已获取本项目招标文件的相关截图复印件，否则递交的质疑函将不予受理。在法定质疑期内质疑人须一次性提出针对同一采购程序环节的质疑，二（多）次质疑不予受理。接收质疑函的方式、联系部门、联系电话和通讯地址：(a)接收质疑函的方式：书面原件形式；(b)接收质疑函的联系方式：联系人：黄妃，联系电话：18065091050；(c)接收质疑函的通讯地址：福州市晋安区东二环泰禾SOHO C3座2601室。</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提供财务状况报告(财务报告、或资信证明）：①投标人提供的财务报告复印件（成立年限按照投标截止时间推算）应符合下列规定：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 信用记录查询结果：①信用记录查询的截止时点：信用记录查询的截止时点为本项目投标截止当日。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r>
              <w:rPr/>
              <w:t xml:space="preserve"> 的内容修正为下列内容：</w:t>
            </w:r>
          </w:p>
          <w:p>
            <w:pPr>
              <w:pStyle w:val="null3"/>
              <w:jc w:val="left"/>
            </w:pPr>
            <w:r>
              <w:rPr/>
              <w:t>提供财务状况报告(财务报告、或资信证明）：①投标人提供的财务报告复印件（成立年限按照投标截止时间推算）应符合下列规定： a.成立年限满1年及以上的投标人，提供经审计的上一年度或2022年度的年度财务报告。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 信用记录查询结果：1.信用信息查询渠道：通过“信用中国”网站（www.creditchina.gov.cn）、中国政府采购网（www.ccgp.gov.cn）、“信用厦门”网站（credit.xm.gov.cn）查询所有供应商的信用信息。 2.截止时点：查询供应商截止开标当天前三年内的信用信息。 3.查询记录和证据留存方式：将查询结果网页打印后随采购文件一并存档。 4.信用信息的使用规则：（1）查询结果显示供应商存在不良信用记录（包含列入失信被执行人、重大税收违法案件当事人名单、政府采购严重违法失信行为记录名单及其他不符合《中华人民共和国政府采购法》第二十二条规定条件）的，其资格审查不合格。（2）因查询渠道网站原因导致查无供应商信息的，不认定供应商资格审查不合格；评审结束后，通过其他渠道发现供应商存在不良信用记录的，不认定为资格审查错误，将依照有关规定进行调查处理。（3）联合体成员存在不良信用记录的，视同联合体存在不良信用记录，联合体资格审查不合格。 5.供应商无需提供信用信息查询结果。若供应商自行提供查询结果的，仍以评标当天查询结果为准。</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中招国际招标有限公司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中招国际招标有限公司</w:t>
      </w:r>
      <w:r>
        <w:rPr/>
        <w:t xml:space="preserve"> 将在投标截止时间至少15个日历日前，在招标文件载明的指定媒体以更正公告的形式发布澄清或修改的内容。不足15个日历日的， </w:t>
      </w:r>
      <w:r>
        <w:rPr/>
        <w:t>中招国际招标有限公司</w:t>
      </w:r>
      <w:r>
        <w:rPr/>
        <w:t xml:space="preserve"> 将顺延投标截止时间及开标时间， </w:t>
      </w:r>
      <w:r>
        <w:rPr/>
        <w:t>中招国际招标有限公司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中招国际招标有限公司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中招国际招标有限公司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中招国际招标有限公司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中招国际招标有限公司</w:t>
      </w:r>
      <w:r>
        <w:rPr/>
        <w:t xml:space="preserve"> 可终止招标并发布终止公告。</w:t>
      </w:r>
    </w:p>
    <w:p>
      <w:pPr>
        <w:pStyle w:val="null3"/>
        <w:ind w:firstLine="480"/>
        <w:jc w:val="both"/>
      </w:pPr>
      <w:r>
        <w:rPr/>
        <w:t xml:space="preserve">8.2终止公告作为 </w:t>
      </w:r>
      <w:r>
        <w:rPr/>
        <w:t>中招国际招标有限公司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中招国际招标有限公司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中招国际招标有限公司</w:t>
      </w:r>
      <w:r>
        <w:rPr/>
        <w:t xml:space="preserve"> 可于投标有效期届满之前书面要求投标人延长投标有效期，投标人应在 </w:t>
      </w:r>
      <w:r>
        <w:rPr/>
        <w:t>中招国际招标有限公司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中招国际招标有限公司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中招国际招标有限公司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中招国际招标有限公司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中招国际招标有限公司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中招国际招标有限公司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中招国际招标有限公司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中招国际招标有限公司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中招国际招标有限公司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中招国际招标有限公司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中招国际招标有限公司</w:t>
      </w:r>
      <w:r>
        <w:rPr/>
        <w:t xml:space="preserve"> 提出询问， </w:t>
      </w:r>
      <w:r>
        <w:rPr/>
        <w:t>中招国际招标有限公司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中招国际招标有限公司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中招国际招标有限公司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由中招国际招标有限公司派出的工作人员至少1人，</w:t>
      </w:r>
      <w:r>
        <w:rPr/>
        <w:t>其余1人可为采购人代表或中招国际招标有限公司的工作人员。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“信用承诺制”要求</w:t>
            </w:r>
          </w:p>
        </w:tc>
        <w:tc>
          <w:tcPr>
            <w:tcW w:type="dxa" w:w="4614"/>
          </w:tcPr>
          <w:p>
            <w:pPr>
              <w:pStyle w:val="null3"/>
              <w:jc w:val="left"/>
            </w:pPr>
            <w:r>
              <w:rPr/>
              <w:t>本项目允许采用“信用承诺制”，根据《厦门市财政局关于进一步减轻供应商参与政府采购活动成本负担的通知》（厦财采〔2021〕5号）规定，供应商提供“资格承诺函”的即可参加采购活动，在响应文件中可不再提供财务状况报告、依法缴纳税收和社会保障资金的相关证明材料。供应商应当遵循诚实信用原则，不得作虚假承诺。供应商承诺不实的，属于提供虚假材料谋取成交，应依法承担相应的法律责任。</w:t>
            </w:r>
          </w:p>
        </w:tc>
      </w:tr>
      <w:tr>
        <w:tc>
          <w:tcPr>
            <w:tcW w:type="dxa" w:w="3692"/>
          </w:tcPr>
          <w:p>
            <w:pPr>
              <w:pStyle w:val="null3"/>
              <w:jc w:val="left"/>
            </w:pPr>
            <w:r>
              <w:rPr/>
              <w:t>进口产品厂家授权</w:t>
            </w:r>
          </w:p>
        </w:tc>
        <w:tc>
          <w:tcPr>
            <w:tcW w:type="dxa" w:w="4614"/>
          </w:tcPr>
          <w:p>
            <w:pPr>
              <w:pStyle w:val="null3"/>
              <w:jc w:val="left"/>
            </w:pPr>
            <w:r>
              <w:rPr/>
              <w:t>本项目为允许采购进口产品，所投货物为进口产品的投标人为经销商的应当提供境外生产厂家直接授权书和售后服务承诺书【格式自拟】（授权书为非中文描述时须同时提供具有翻译资质的机构翻译的中文译本，翻译的中文译本应由翻译人员签名并加盖翻译机构公章，同时提供翻译人员翻译资格证书）</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中招国际招标有限公司</w:t>
      </w:r>
      <w:r>
        <w:rPr/>
        <w:t xml:space="preserve"> 统一对外发布。</w:t>
      </w:r>
    </w:p>
    <w:p>
      <w:pPr>
        <w:pStyle w:val="null3"/>
        <w:ind w:firstLine="480"/>
        <w:jc w:val="both"/>
      </w:pPr>
      <w:r>
        <w:rPr/>
        <w:t xml:space="preserve">3、资格审查合格的投标人不足三家的，不进行评标。同时，本次采购活动结束， </w:t>
      </w:r>
      <w:r>
        <w:rPr/>
        <w:t>中招国际招标有限公司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中招国际招标有限公司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中招国际招标有限公司</w:t>
      </w:r>
      <w:r>
        <w:rPr/>
        <w:t xml:space="preserve"> 统一对外发布。</w:t>
      </w:r>
    </w:p>
    <w:p>
      <w:pPr>
        <w:pStyle w:val="null3"/>
        <w:ind w:firstLine="480"/>
        <w:jc w:val="both"/>
      </w:pPr>
      <w:r>
        <w:rPr/>
        <w:t xml:space="preserve">②对 </w:t>
      </w:r>
      <w:r>
        <w:rPr/>
        <w:t>中招国际招标有限公司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投标人的投标文件对招标文件中带“★”条款实质性不满足或负偏离。</w:t>
            </w:r>
          </w:p>
        </w:tc>
      </w:tr>
      <w:tr>
        <w:tc>
          <w:tcPr>
            <w:tcW w:type="dxa" w:w="4153"/>
          </w:tcPr>
          <w:p>
            <w:pPr>
              <w:pStyle w:val="null3"/>
              <w:jc w:val="left"/>
            </w:pPr>
            <w:r>
              <w:rPr/>
              <w:t>其他情形</w:t>
            </w:r>
          </w:p>
        </w:tc>
        <w:tc>
          <w:tcPr>
            <w:tcW w:type="dxa" w:w="4153"/>
          </w:tcPr>
          <w:p>
            <w:pPr>
              <w:pStyle w:val="null3"/>
              <w:jc w:val="left"/>
            </w:pPr>
            <w:r>
              <w:rPr/>
              <w:t>投标人技术部分的实际得分少于招标文件设定的技术部分总分50%的作为无效标处理。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投标人的投标文件对招标文件中带“★”条款实质性不满足或负偏离。</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投标人的报价超过招标文件规定的最高限价的为无效投标。</w:t>
            </w:r>
          </w:p>
        </w:tc>
      </w:tr>
    </w:tbl>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中招国际招标有限公司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r>
        <w:tc>
          <w:tcPr>
            <w:tcW w:type="dxa" w:w="1661"/>
          </w:tcPr>
          <w:p>
            <w:pPr>
              <w:pStyle w:val="null3"/>
              <w:jc w:val="both"/>
            </w:pPr>
            <w:r>
              <w:rPr/>
              <w:t>小型、微型企业，监狱企业，残疾人福利性单位</w:t>
            </w:r>
          </w:p>
        </w:tc>
        <w:tc>
          <w:tcPr>
            <w:tcW w:type="dxa" w:w="1661"/>
          </w:tcPr>
          <w:p>
            <w:pPr>
              <w:pStyle w:val="null3"/>
              <w:jc w:val="both"/>
            </w:pPr>
            <w:r>
              <w:rPr/>
              <w:t>投标人或者联合体均为小型、微型企业</w:t>
            </w:r>
          </w:p>
        </w:tc>
        <w:tc>
          <w:tcPr>
            <w:tcW w:type="dxa" w:w="831"/>
          </w:tcPr>
          <w:p>
            <w:pPr>
              <w:pStyle w:val="null3"/>
              <w:jc w:val="right"/>
            </w:pPr>
            <w:r>
              <w:rPr/>
              <w:t>15.0000%</w:t>
            </w:r>
          </w:p>
        </w:tc>
        <w:tc>
          <w:tcPr>
            <w:tcW w:type="dxa" w:w="4153"/>
          </w:tcPr>
          <w:p>
            <w:pPr>
              <w:pStyle w:val="null3"/>
              <w:jc w:val="both"/>
            </w:pPr>
            <w:r>
              <w:rPr/>
              <w:t>1、对小、微企业报价给予 15%—20%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1、同一采购包内，对节能产品、环境标志产品政府采购品目清单范围内，实施优先采购的产品，给予产品价格报价10%的扣除，用扣除后的价格参加评审。采购标的同时包含其它非优先采购产品的，供应商应在投标文件中对优先采购产品和非优先采购产品进行分项报价，非优先采购产品的报价不得享受给予节能产品、环境标志产品的价格扣除优惠。2、同一优先采购产品中各认证证书不重复计算价格扣除。强制类节能产品不进行价格扣除。注：对于同时属于节能、环境标志的产品，应当优先于只获得其中一项认证的产品。供应商在投标时必须对属于节能、环境标志产品分项报价，并提供产品的认证证书复印件附在报价部分(电子证明资料应上传在对应评分模块)且加盖供应商公章。未单独分项报价或未提供产品的证明资料的不给予价格扣除。投标产品属于节能、环境标志产品的，可享受相关的鼓励优惠政策；若节能、环境标志产品仅是构成投标产品的部件、组件或零件的，则该投标产品不享受鼓励优惠政策。评委审查此项响应性只根据投标文件本身的内容，而不寻求其他的外部证据。(本文件中其他有关附加部分评审中节能、环境标志产品描述情况与此处不一致，以此处为准)</w:t>
            </w:r>
          </w:p>
        </w:tc>
      </w:tr>
    </w:tbl>
    <w:p>
      <w:pPr>
        <w:pStyle w:val="null3"/>
        <w:jc w:val="both"/>
      </w:pPr>
      <w:r>
        <w:rPr/>
        <w:t>其他：无</w:t>
      </w:r>
    </w:p>
    <w:p>
      <w:pPr>
        <w:pStyle w:val="null3"/>
        <w:jc w:val="both"/>
      </w:pPr>
      <w:r>
        <w:rPr/>
        <w:t>技术项（F2×A2）满分为55.0000分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1、技术响应1</w:t>
            </w:r>
          </w:p>
        </w:tc>
        <w:tc>
          <w:tcPr>
            <w:tcW w:type="dxa" w:w="831"/>
          </w:tcPr>
          <w:p>
            <w:pPr>
              <w:pStyle w:val="null3"/>
              <w:jc w:val="right"/>
            </w:pPr>
            <w:r>
              <w:rPr/>
              <w:t>3.0000</w:t>
            </w:r>
          </w:p>
        </w:tc>
        <w:tc>
          <w:tcPr>
            <w:tcW w:type="dxa" w:w="4153"/>
          </w:tcPr>
          <w:p>
            <w:pPr>
              <w:pStyle w:val="null3"/>
              <w:jc w:val="both"/>
            </w:pPr>
            <w:r>
              <w:rPr/>
              <w:t>投标人所投接收机1和接收机2均需满足招标文件要求“▲1.2内置或者外置专门用于免授权的2.4GHz和5.8GHz ISM频段的陷波器，衰减值为20dB；若采用外置陷波器，必须配置带屏幕显示的射频切换开关对外置滤波器进行路径切换（切换开关频率范围与接收机主机保持一致，全频段VSWR&lt;1.5，全频段插损&lt;0.8dB），可程序控制与接收机主机联动”。提供产品彩页证明并加盖公章得3分，不满足或未提供不得分。</w:t>
            </w:r>
          </w:p>
        </w:tc>
      </w:tr>
      <w:tr>
        <w:tc>
          <w:tcPr>
            <w:tcW w:type="dxa" w:w="3322"/>
          </w:tcPr>
          <w:p>
            <w:pPr>
              <w:pStyle w:val="null3"/>
              <w:jc w:val="both"/>
            </w:pPr>
            <w:r>
              <w:rPr/>
              <w:t>2、技术响应2</w:t>
            </w:r>
          </w:p>
        </w:tc>
        <w:tc>
          <w:tcPr>
            <w:tcW w:type="dxa" w:w="831"/>
          </w:tcPr>
          <w:p>
            <w:pPr>
              <w:pStyle w:val="null3"/>
              <w:jc w:val="right"/>
            </w:pPr>
            <w:r>
              <w:rPr/>
              <w:t>3.0000</w:t>
            </w:r>
          </w:p>
        </w:tc>
        <w:tc>
          <w:tcPr>
            <w:tcW w:type="dxa" w:w="4153"/>
          </w:tcPr>
          <w:p>
            <w:pPr>
              <w:pStyle w:val="null3"/>
              <w:jc w:val="both"/>
            </w:pPr>
            <w:r>
              <w:rPr/>
              <w:t>投标人所投接收机3满足招标文件要求“▲1.2预选器滤波器数量≥16”。 预选器滤波器数量≥20，得3分； 18个≤预选器滤波器数量&lt;20个，得2分； 16个≤预选器滤波器数量&lt;18个，得1分； 其他情况不得分。需提供产品彩页证明并加盖公章，否则不得分。</w:t>
            </w:r>
          </w:p>
        </w:tc>
      </w:tr>
      <w:tr>
        <w:tc>
          <w:tcPr>
            <w:tcW w:type="dxa" w:w="3322"/>
          </w:tcPr>
          <w:p>
            <w:pPr>
              <w:pStyle w:val="null3"/>
              <w:jc w:val="both"/>
            </w:pPr>
            <w:r>
              <w:rPr/>
              <w:t>3、技术响应3</w:t>
            </w:r>
          </w:p>
        </w:tc>
        <w:tc>
          <w:tcPr>
            <w:tcW w:type="dxa" w:w="831"/>
          </w:tcPr>
          <w:p>
            <w:pPr>
              <w:pStyle w:val="null3"/>
              <w:jc w:val="right"/>
            </w:pPr>
            <w:r>
              <w:rPr/>
              <w:t>3.0000</w:t>
            </w:r>
          </w:p>
        </w:tc>
        <w:tc>
          <w:tcPr>
            <w:tcW w:type="dxa" w:w="4153"/>
          </w:tcPr>
          <w:p>
            <w:pPr>
              <w:pStyle w:val="null3"/>
              <w:jc w:val="both"/>
            </w:pPr>
            <w:r>
              <w:rPr/>
              <w:t>投标人所投接收机3满足招标文件要求“▲1.3内置或者外置专门用于免授权的2.4GHz和5.8GHz ISM频段的陷波器，衰减值为20dB；若采用外置陷波器，必须配置带屏幕显示的射频切换开关对外置滤波器进行路径切换（切换开关频率范围与接收机主机保持一致，全频段VSWR&lt;2，全频段插损&lt;1dB），可程序控制与接收机主机联动”。提供产品彩页证明并加盖公章得3分，不满足或未提供不得分。</w:t>
            </w:r>
          </w:p>
        </w:tc>
      </w:tr>
      <w:tr>
        <w:tc>
          <w:tcPr>
            <w:tcW w:type="dxa" w:w="3322"/>
          </w:tcPr>
          <w:p>
            <w:pPr>
              <w:pStyle w:val="null3"/>
              <w:jc w:val="both"/>
            </w:pPr>
            <w:r>
              <w:rPr/>
              <w:t>4、技术响应4</w:t>
            </w:r>
          </w:p>
        </w:tc>
        <w:tc>
          <w:tcPr>
            <w:tcW w:type="dxa" w:w="831"/>
          </w:tcPr>
          <w:p>
            <w:pPr>
              <w:pStyle w:val="null3"/>
              <w:jc w:val="right"/>
            </w:pPr>
            <w:r>
              <w:rPr/>
              <w:t>3.0000</w:t>
            </w:r>
          </w:p>
        </w:tc>
        <w:tc>
          <w:tcPr>
            <w:tcW w:type="dxa" w:w="4153"/>
          </w:tcPr>
          <w:p>
            <w:pPr>
              <w:pStyle w:val="null3"/>
              <w:jc w:val="both"/>
            </w:pPr>
            <w:r>
              <w:rPr/>
              <w:t>投标人所投接收机1、接收机2和接收机3均需满足招标文件要求“▲1.1符合CISPR 16-1-1对接收机的要求；配备完全符合CISPR 16-1-1的FFT扫描功能，FFT测量速度满足：(150kHz ~ 30MHz, RBW = 9kHz, measurement time = 100 ms, peak detector): 110 ms (meas.)；(150kHz ~ 30MHz, RBW = 9kHz, measurement time = 1 s, quasi-peak detector): 2 s (meas.)；(30MHz ~ 1000MHz, RBW = 120 kHz, measurement time = 10 ms, peak detector): ＜500 ms (meas.)”。提供产品彩页证明并加盖公章得3分，不满足或未提供不得分。</w:t>
            </w:r>
          </w:p>
        </w:tc>
      </w:tr>
      <w:tr>
        <w:tc>
          <w:tcPr>
            <w:tcW w:type="dxa" w:w="3322"/>
          </w:tcPr>
          <w:p>
            <w:pPr>
              <w:pStyle w:val="null3"/>
              <w:jc w:val="both"/>
            </w:pPr>
            <w:r>
              <w:rPr/>
              <w:t>5、技术响应5</w:t>
            </w:r>
          </w:p>
        </w:tc>
        <w:tc>
          <w:tcPr>
            <w:tcW w:type="dxa" w:w="831"/>
          </w:tcPr>
          <w:p>
            <w:pPr>
              <w:pStyle w:val="null3"/>
              <w:jc w:val="right"/>
            </w:pPr>
            <w:r>
              <w:rPr/>
              <w:t>3.0000</w:t>
            </w:r>
          </w:p>
        </w:tc>
        <w:tc>
          <w:tcPr>
            <w:tcW w:type="dxa" w:w="4153"/>
          </w:tcPr>
          <w:p>
            <w:pPr>
              <w:pStyle w:val="null3"/>
              <w:jc w:val="both"/>
            </w:pPr>
            <w:r>
              <w:rPr/>
              <w:t>投标人所投接收机1、接收机2和接收机3均需满足招标文件要求：“▲1.2 接收机频率分辨率：≤2Hz”。 接收机频率分辨率≤0.01Hz，得3分； 0.01Hz&lt;接收机频率分辨率≤1Hz，得2分； 1Hz&lt;接收机频率分辨率≤2Hz，得1分； 其他情况不得分。需提供产品彩页证明并加盖公章，否则不得分。</w:t>
            </w:r>
          </w:p>
        </w:tc>
      </w:tr>
      <w:tr>
        <w:tc>
          <w:tcPr>
            <w:tcW w:type="dxa" w:w="3322"/>
          </w:tcPr>
          <w:p>
            <w:pPr>
              <w:pStyle w:val="null3"/>
              <w:jc w:val="both"/>
            </w:pPr>
            <w:r>
              <w:rPr/>
              <w:t>6、技术响应6</w:t>
            </w:r>
          </w:p>
        </w:tc>
        <w:tc>
          <w:tcPr>
            <w:tcW w:type="dxa" w:w="831"/>
          </w:tcPr>
          <w:p>
            <w:pPr>
              <w:pStyle w:val="null3"/>
              <w:jc w:val="right"/>
            </w:pPr>
            <w:r>
              <w:rPr/>
              <w:t>3.0000</w:t>
            </w:r>
          </w:p>
        </w:tc>
        <w:tc>
          <w:tcPr>
            <w:tcW w:type="dxa" w:w="4153"/>
          </w:tcPr>
          <w:p>
            <w:pPr>
              <w:pStyle w:val="null3"/>
              <w:jc w:val="both"/>
            </w:pPr>
            <w:r>
              <w:rPr/>
              <w:t>投标人所投接收机1、接收机2和接收机3均需满足招标文件要求“▲1.4 EMI测量带宽：至少包含10Hz，100Hz，200Hz，1kHz，9kHz，10kHz，100kHz，120kHz，1MHz”。 EMI测量带宽：包含1Hz，10Hz，100Hz，200Hz，1kHz，9kHz，10kHz，100kHz，120kHz，1MHz，10MHz，得3分； EMI测量带宽：包含1Hz，10Hz，100Hz，200Hz，1kHz，9kHz，10kHz，100kHz，120kHz，1MHz，得2分； EMI测量带宽：包含10Hz，100Hz，200Hz，1kHz，9kHz，10kHz，100kHz，120kHz，1MHz得1分； 其他情况不得分。需提供产品彩页证明并加盖公章，否则不得分。</w:t>
            </w:r>
          </w:p>
        </w:tc>
      </w:tr>
      <w:tr>
        <w:tc>
          <w:tcPr>
            <w:tcW w:type="dxa" w:w="3322"/>
          </w:tcPr>
          <w:p>
            <w:pPr>
              <w:pStyle w:val="null3"/>
              <w:jc w:val="both"/>
            </w:pPr>
            <w:r>
              <w:rPr/>
              <w:t>7、技术响应7</w:t>
            </w:r>
          </w:p>
        </w:tc>
        <w:tc>
          <w:tcPr>
            <w:tcW w:type="dxa" w:w="831"/>
          </w:tcPr>
          <w:p>
            <w:pPr>
              <w:pStyle w:val="null3"/>
              <w:jc w:val="right"/>
            </w:pPr>
            <w:r>
              <w:rPr/>
              <w:t>3.0000</w:t>
            </w:r>
          </w:p>
        </w:tc>
        <w:tc>
          <w:tcPr>
            <w:tcW w:type="dxa" w:w="4153"/>
          </w:tcPr>
          <w:p>
            <w:pPr>
              <w:pStyle w:val="null3"/>
              <w:jc w:val="both"/>
            </w:pPr>
            <w:r>
              <w:rPr/>
              <w:t>投标人所投接收机1、接收机2和接收机3均需满足招标文件要求：“▲1.5 EMI 扫描每轨迹点数：≥4,000,000”。 EMI扫描每轨迹点数≥8000000，得3分； 8000000＞EMI扫描每轨迹点数≥6000000，得2分； 6000000＞EMI扫描每轨迹点数≥4000000，得1分； 其他情况不得分。需提供产品彩页证明并加盖公章，否则不得分。</w:t>
            </w:r>
          </w:p>
        </w:tc>
      </w:tr>
      <w:tr>
        <w:tc>
          <w:tcPr>
            <w:tcW w:type="dxa" w:w="3322"/>
          </w:tcPr>
          <w:p>
            <w:pPr>
              <w:pStyle w:val="null3"/>
              <w:jc w:val="both"/>
            </w:pPr>
            <w:r>
              <w:rPr/>
              <w:t>8、技术响应8</w:t>
            </w:r>
          </w:p>
        </w:tc>
        <w:tc>
          <w:tcPr>
            <w:tcW w:type="dxa" w:w="831"/>
          </w:tcPr>
          <w:p>
            <w:pPr>
              <w:pStyle w:val="null3"/>
              <w:jc w:val="right"/>
            </w:pPr>
            <w:r>
              <w:rPr/>
              <w:t>3.0000</w:t>
            </w:r>
          </w:p>
        </w:tc>
        <w:tc>
          <w:tcPr>
            <w:tcW w:type="dxa" w:w="4153"/>
          </w:tcPr>
          <w:p>
            <w:pPr>
              <w:pStyle w:val="null3"/>
              <w:jc w:val="both"/>
            </w:pPr>
            <w:r>
              <w:rPr/>
              <w:t>投标人所投接收机1、接收机2和接收机3均需满足招标文件要求：“▲1.8互调1dB压缩点输入功率（预选器关，前置放大器关，低噪放关）,f≤3GHz时： ≥5dBm (nom.)”。 互调1dB压缩点输入功率（预选器关，前置放大器关，低噪放关），f≤3GHz时： ≥15dBm (nom.)，得3分； 互调1dB压缩点输入功率（预选器关，前置放大器关，低噪放关），f≤3GHz时： ≥12dBm (nom.)且&lt;15dBm（nom），得2分； 互调1dB压缩点输入功率（预选器关，前置放大器关，低噪放关），f≤3GHz时： ≥5dBm (nom.)且&lt;12dBm（nom），得1分； 其他情况不得分。提供产品彩页证明并加盖公章，未提供不得分。</w:t>
            </w:r>
          </w:p>
        </w:tc>
      </w:tr>
      <w:tr>
        <w:tc>
          <w:tcPr>
            <w:tcW w:type="dxa" w:w="3322"/>
          </w:tcPr>
          <w:p>
            <w:pPr>
              <w:pStyle w:val="null3"/>
              <w:jc w:val="both"/>
            </w:pPr>
            <w:r>
              <w:rPr/>
              <w:t>9、技术响应9</w:t>
            </w:r>
          </w:p>
        </w:tc>
        <w:tc>
          <w:tcPr>
            <w:tcW w:type="dxa" w:w="831"/>
          </w:tcPr>
          <w:p>
            <w:pPr>
              <w:pStyle w:val="null3"/>
              <w:jc w:val="right"/>
            </w:pPr>
            <w:r>
              <w:rPr/>
              <w:t>3.0000</w:t>
            </w:r>
          </w:p>
        </w:tc>
        <w:tc>
          <w:tcPr>
            <w:tcW w:type="dxa" w:w="4153"/>
          </w:tcPr>
          <w:p>
            <w:pPr>
              <w:pStyle w:val="null3"/>
              <w:jc w:val="both"/>
            </w:pPr>
            <w:r>
              <w:rPr/>
              <w:t>投标人所投接收机1、接收机2和接收机3均需满足招标文件要求“▲1.11内置衰减器设置范围宽于或等于0 dB 到70 dB，最小设置步进≤5dB”。 内置衰减器设置范围0dB到75dB，得1.5分； 内置衰减器设置范围0dB到73dB，得1分； 内置衰减器设置范围0dB到70dB，得0.5分； 最小设置步进≤1dB，得1.5分； 最小设置步进＞1dB且≤3dB，得1分； 最小设置步进＞3dB且≤5dB，得0.5分； 其他情况不得分。提供产品彩页证明并加盖公章，未提供不得分。</w:t>
            </w:r>
          </w:p>
        </w:tc>
      </w:tr>
      <w:tr>
        <w:tc>
          <w:tcPr>
            <w:tcW w:type="dxa" w:w="3322"/>
          </w:tcPr>
          <w:p>
            <w:pPr>
              <w:pStyle w:val="null3"/>
              <w:jc w:val="both"/>
            </w:pPr>
            <w:r>
              <w:rPr/>
              <w:t>10、技术响应10</w:t>
            </w:r>
          </w:p>
        </w:tc>
        <w:tc>
          <w:tcPr>
            <w:tcW w:type="dxa" w:w="831"/>
          </w:tcPr>
          <w:p>
            <w:pPr>
              <w:pStyle w:val="null3"/>
              <w:jc w:val="right"/>
            </w:pPr>
            <w:r>
              <w:rPr/>
              <w:t>28.0000</w:t>
            </w:r>
          </w:p>
        </w:tc>
        <w:tc>
          <w:tcPr>
            <w:tcW w:type="dxa" w:w="4153"/>
          </w:tcPr>
          <w:p>
            <w:pPr>
              <w:pStyle w:val="null3"/>
              <w:jc w:val="both"/>
            </w:pPr>
            <w:r>
              <w:rPr/>
              <w:t>投标人所投接收机1、接收机2和接收机3满足招标文件要求，未标注“▲”、“★”号参数要求：指标1-指标2，负偏离扣3分（共2项，总分6分）。指标12、指标15-指标16、指标18-指标19、指标21-指标22、指标24-指标27，每负偏离一项扣2分（共11项，总分22分）。投标人须逐项对技术参数要求进行响应，不满足或未提供不得分。</w:t>
            </w:r>
          </w:p>
        </w:tc>
      </w:tr>
    </w:tbl>
    <w:p>
      <w:pPr>
        <w:pStyle w:val="null3"/>
        <w:jc w:val="both"/>
      </w:pPr>
      <w:r>
        <w:rPr/>
        <w:t>商务项（F3×A3）满分为15.0000分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1、体系认证</w:t>
            </w:r>
          </w:p>
        </w:tc>
        <w:tc>
          <w:tcPr>
            <w:tcW w:type="dxa" w:w="831"/>
          </w:tcPr>
          <w:p>
            <w:pPr>
              <w:pStyle w:val="null3"/>
              <w:jc w:val="right"/>
            </w:pPr>
            <w:r>
              <w:rPr/>
              <w:t>1.0000</w:t>
            </w:r>
          </w:p>
        </w:tc>
        <w:tc>
          <w:tcPr>
            <w:tcW w:type="dxa" w:w="4153"/>
          </w:tcPr>
          <w:p>
            <w:pPr>
              <w:pStyle w:val="null3"/>
              <w:jc w:val="both"/>
            </w:pPr>
            <w:r>
              <w:rPr/>
              <w:t>投标人或制造商具有【质量管理体系认证】证书，证书应在全国认证认可信息公共服务平台可查询，且在提交投标文件时证书应处于有效状态，投标人需提供证书扫描件。完全满足上述要求的得1分，否则不得分。</w:t>
            </w:r>
          </w:p>
        </w:tc>
      </w:tr>
      <w:tr>
        <w:tc>
          <w:tcPr>
            <w:tcW w:type="dxa" w:w="3322"/>
          </w:tcPr>
          <w:p>
            <w:pPr>
              <w:pStyle w:val="null3"/>
              <w:jc w:val="both"/>
            </w:pPr>
            <w:r>
              <w:rPr/>
              <w:t>2、培训方案</w:t>
            </w:r>
          </w:p>
        </w:tc>
        <w:tc>
          <w:tcPr>
            <w:tcW w:type="dxa" w:w="831"/>
          </w:tcPr>
          <w:p>
            <w:pPr>
              <w:pStyle w:val="null3"/>
              <w:jc w:val="right"/>
            </w:pPr>
            <w:r>
              <w:rPr/>
              <w:t>3.0000</w:t>
            </w:r>
          </w:p>
        </w:tc>
        <w:tc>
          <w:tcPr>
            <w:tcW w:type="dxa" w:w="4153"/>
          </w:tcPr>
          <w:p>
            <w:pPr>
              <w:pStyle w:val="null3"/>
              <w:jc w:val="both"/>
            </w:pPr>
            <w:r>
              <w:rPr/>
              <w:t>根据投标人针对本项目所提供的培训方案进行评价：培训方案应至少包括①培训时间、地点及培训讲师（至少2人）的资历；②培训的主要内容（至少包含使用及日常维护内容）；③预期培训效果。以上内容每完整响应1项得1分，满分3分。未提供培训方案或所提供的培训方案内容不符合本项目要求的不得分。</w:t>
            </w:r>
          </w:p>
        </w:tc>
      </w:tr>
      <w:tr>
        <w:tc>
          <w:tcPr>
            <w:tcW w:type="dxa" w:w="3322"/>
          </w:tcPr>
          <w:p>
            <w:pPr>
              <w:pStyle w:val="null3"/>
              <w:jc w:val="both"/>
            </w:pPr>
            <w:r>
              <w:rPr/>
              <w:t>3、业绩</w:t>
            </w:r>
          </w:p>
        </w:tc>
        <w:tc>
          <w:tcPr>
            <w:tcW w:type="dxa" w:w="831"/>
          </w:tcPr>
          <w:p>
            <w:pPr>
              <w:pStyle w:val="null3"/>
              <w:jc w:val="right"/>
            </w:pPr>
            <w:r>
              <w:rPr/>
              <w:t>3.0000</w:t>
            </w:r>
          </w:p>
        </w:tc>
        <w:tc>
          <w:tcPr>
            <w:tcW w:type="dxa" w:w="4153"/>
          </w:tcPr>
          <w:p>
            <w:pPr>
              <w:pStyle w:val="null3"/>
              <w:jc w:val="both"/>
            </w:pPr>
            <w:r>
              <w:rPr/>
              <w:t>根据投标人或制造商自2022年7月1日(以合同签订时间为准)以来承接过同类接收机采购项目的有效业绩进行评价：每提供1个有效业绩得1分，满分3分。说明：投标人须提供该业绩项目以下资料有效复印件：(1)中标（成交）公告(须提供相关网站中标或成交公告的下载网页及其网址)；(2)中标（成交）通知书；(3)采购合同文本；(4)能够证明该业绩项目已经采购人验收合格的证明材料。如未按照以上要求提供该项目业绩完整资料的，评标委员会对该项业绩将不予采信。</w:t>
            </w:r>
          </w:p>
        </w:tc>
      </w:tr>
      <w:tr>
        <w:tc>
          <w:tcPr>
            <w:tcW w:type="dxa" w:w="3322"/>
          </w:tcPr>
          <w:p>
            <w:pPr>
              <w:pStyle w:val="null3"/>
              <w:jc w:val="both"/>
            </w:pPr>
            <w:r>
              <w:rPr/>
              <w:t>4、售后服务方案</w:t>
            </w:r>
          </w:p>
        </w:tc>
        <w:tc>
          <w:tcPr>
            <w:tcW w:type="dxa" w:w="831"/>
          </w:tcPr>
          <w:p>
            <w:pPr>
              <w:pStyle w:val="null3"/>
              <w:jc w:val="right"/>
            </w:pPr>
            <w:r>
              <w:rPr/>
              <w:t>3.0000</w:t>
            </w:r>
          </w:p>
        </w:tc>
        <w:tc>
          <w:tcPr>
            <w:tcW w:type="dxa" w:w="4153"/>
          </w:tcPr>
          <w:p>
            <w:pPr>
              <w:pStyle w:val="null3"/>
              <w:jc w:val="both"/>
            </w:pPr>
            <w:r>
              <w:rPr/>
              <w:t>根据投标人针对本项目所提供的售后服务方案进行评价：方案应至少包括①质保期内设备维护保养计划，内容至少包含维护保养频次（每年至少1次）、维护保养时间、维护人员情况、保养内容、服务效果等；②提供质保期满后关键零部件的成本费用清单及承诺质保期满后关键零部件成本折扣低于8折；③承诺质保期内维护保养频次2次/年及以上。每完整响应1项得1分，满分3分。未提供方案或方案内容不齐全的不得分。</w:t>
            </w:r>
          </w:p>
        </w:tc>
      </w:tr>
      <w:tr>
        <w:tc>
          <w:tcPr>
            <w:tcW w:type="dxa" w:w="3322"/>
          </w:tcPr>
          <w:p>
            <w:pPr>
              <w:pStyle w:val="null3"/>
              <w:jc w:val="both"/>
            </w:pPr>
            <w:r>
              <w:rPr/>
              <w:t>5、响应承诺</w:t>
            </w:r>
          </w:p>
        </w:tc>
        <w:tc>
          <w:tcPr>
            <w:tcW w:type="dxa" w:w="831"/>
          </w:tcPr>
          <w:p>
            <w:pPr>
              <w:pStyle w:val="null3"/>
              <w:jc w:val="right"/>
            </w:pPr>
            <w:r>
              <w:rPr/>
              <w:t>3.0000</w:t>
            </w:r>
          </w:p>
        </w:tc>
        <w:tc>
          <w:tcPr>
            <w:tcW w:type="dxa" w:w="4153"/>
          </w:tcPr>
          <w:p>
            <w:pPr>
              <w:pStyle w:val="null3"/>
              <w:jc w:val="both"/>
            </w:pPr>
            <w:r>
              <w:rPr/>
              <w:t>根据投标人的响应速度进行评价：投标人承诺接到故障电话后，1小时内电话响应，4小时内到达，12小时内修复，得3分；1小时内电话响应，8小时内到达，24小时内修复，得1.5分；其他情况不得分。</w:t>
            </w:r>
          </w:p>
        </w:tc>
      </w:tr>
      <w:tr>
        <w:tc>
          <w:tcPr>
            <w:tcW w:type="dxa" w:w="3322"/>
          </w:tcPr>
          <w:p>
            <w:pPr>
              <w:pStyle w:val="null3"/>
              <w:jc w:val="both"/>
            </w:pPr>
            <w:r>
              <w:rPr/>
              <w:t>6、质保期承诺</w:t>
            </w:r>
          </w:p>
        </w:tc>
        <w:tc>
          <w:tcPr>
            <w:tcW w:type="dxa" w:w="831"/>
          </w:tcPr>
          <w:p>
            <w:pPr>
              <w:pStyle w:val="null3"/>
              <w:jc w:val="right"/>
            </w:pPr>
            <w:r>
              <w:rPr/>
              <w:t>2.0000</w:t>
            </w:r>
          </w:p>
        </w:tc>
        <w:tc>
          <w:tcPr>
            <w:tcW w:type="dxa" w:w="4153"/>
          </w:tcPr>
          <w:p>
            <w:pPr>
              <w:pStyle w:val="null3"/>
              <w:jc w:val="both"/>
            </w:pPr>
            <w:r>
              <w:rPr/>
              <w:t>根据投标人承诺的整体质保期限进行评价：在满足招标文件的基础上，每延长一年得1分，满分2分。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rPr>
        <w:t>电磁兼容（</w:t>
      </w:r>
      <w:r>
        <w:rPr>
          <w:rFonts w:ascii="宋体" w:hAnsi="宋体" w:cs="宋体" w:eastAsia="宋体"/>
        </w:rPr>
        <w:t>EMC）是对电子产品的电磁干扰（EMI）和抗干扰能力（EMS）的综合评定，是产品质量最重要的指标之一。拟采购的接收机是电磁兼容EMI测试项目的必备设备之一，例如传导、辐射、骚扰功率等项目均需使用该设备，而电磁兼容设备仪器投入高的特点决定了企业往往无法自行建设电磁兼容实验室，因此第三方的电磁兼容检测实验室就显得尤为重要。</w:t>
      </w:r>
    </w:p>
    <w:p>
      <w:pPr>
        <w:pStyle w:val="null3"/>
        <w:ind w:firstLine="480"/>
        <w:jc w:val="both"/>
      </w:pPr>
      <w:r>
        <w:rPr>
          <w:rFonts w:ascii="宋体" w:hAnsi="宋体" w:cs="宋体" w:eastAsia="宋体"/>
          <w:sz w:val="21"/>
        </w:rPr>
        <w:t>该测试设备技术含量高、不确定系数多，为了保证测试数据的准确可靠性，对测试设备的准确性、稳定性、专业性、集成性有很高的要求。</w:t>
      </w:r>
    </w:p>
    <w:p>
      <w:pPr>
        <w:pStyle w:val="null3"/>
        <w:jc w:val="both"/>
        <w:outlineLvl w:val="2"/>
      </w:pPr>
      <w:r>
        <w:rPr>
          <w:sz w:val="28"/>
          <w:b/>
        </w:rPr>
        <w:t>二、技术和服务要求（以“★”标示的内容为不允许负偏离的实质性要求）</w:t>
      </w:r>
    </w:p>
    <w:p>
      <w:pPr>
        <w:pStyle w:val="null3"/>
        <w:ind w:firstLine="480"/>
        <w:jc w:val="both"/>
      </w:pPr>
      <w:r>
        <w:rPr>
          <w:rFonts w:ascii="宋体" w:hAnsi="宋体" w:cs="宋体" w:eastAsia="宋体"/>
          <w:sz w:val="20"/>
          <w:b/>
        </w:rPr>
        <w:t>（一）、总体要求</w:t>
      </w:r>
    </w:p>
    <w:p>
      <w:pPr>
        <w:pStyle w:val="null3"/>
        <w:ind w:left="420"/>
        <w:jc w:val="both"/>
      </w:pPr>
      <w:r>
        <w:rPr>
          <w:rFonts w:ascii="宋体" w:hAnsi="宋体" w:cs="宋体" w:eastAsia="宋体"/>
          <w:sz w:val="20"/>
          <w:b/>
        </w:rPr>
        <w:t>1、满足标准要求</w:t>
      </w:r>
      <w:r>
        <w:rPr>
          <w:rFonts w:ascii="宋体" w:hAnsi="宋体" w:cs="宋体" w:eastAsia="宋体"/>
          <w:sz w:val="20"/>
        </w:rPr>
        <w:t>：</w:t>
      </w:r>
      <w:r>
        <w:rPr>
          <w:rFonts w:ascii="宋体" w:hAnsi="宋体" w:cs="宋体" w:eastAsia="宋体"/>
          <w:sz w:val="20"/>
        </w:rPr>
        <w:t>GB/T 6113.101、GB/T 9254.1、GB/T 17743、GB4343.1、GB/T 4824以上标准均要求最新版本。</w:t>
      </w:r>
      <w:r>
        <w:rPr>
          <w:rFonts w:ascii="宋体" w:hAnsi="宋体" w:cs="宋体" w:eastAsia="宋体"/>
          <w:sz w:val="20"/>
        </w:rPr>
        <w:t>【评审项</w:t>
      </w:r>
      <w:r>
        <w:rPr>
          <w:rFonts w:ascii="宋体" w:hAnsi="宋体" w:cs="宋体" w:eastAsia="宋体"/>
          <w:sz w:val="20"/>
        </w:rPr>
        <w:t>1】</w:t>
      </w:r>
    </w:p>
    <w:p>
      <w:pPr>
        <w:pStyle w:val="null3"/>
        <w:ind w:firstLine="400"/>
        <w:jc w:val="both"/>
      </w:pPr>
      <w:r>
        <w:rPr>
          <w:rFonts w:ascii="宋体" w:hAnsi="宋体" w:cs="宋体" w:eastAsia="宋体"/>
          <w:sz w:val="20"/>
        </w:rPr>
        <w:t>2、</w:t>
      </w:r>
      <w:r>
        <w:rPr>
          <w:rFonts w:ascii="宋体" w:hAnsi="宋体" w:cs="宋体" w:eastAsia="宋体"/>
          <w:sz w:val="20"/>
          <w:b/>
        </w:rPr>
        <w:t>配置：</w:t>
      </w:r>
      <w:r>
        <w:rPr>
          <w:rFonts w:ascii="宋体" w:hAnsi="宋体" w:cs="宋体" w:eastAsia="宋体"/>
          <w:sz w:val="20"/>
        </w:rPr>
        <w:t>接收机</w:t>
      </w:r>
      <w:r>
        <w:rPr>
          <w:rFonts w:ascii="宋体" w:hAnsi="宋体" w:cs="宋体" w:eastAsia="宋体"/>
          <w:sz w:val="20"/>
        </w:rPr>
        <w:t xml:space="preserve">   3套【评审项2】</w:t>
      </w:r>
    </w:p>
    <w:p>
      <w:pPr>
        <w:pStyle w:val="null3"/>
        <w:ind w:firstLine="402"/>
        <w:jc w:val="both"/>
      </w:pPr>
      <w:r>
        <w:rPr>
          <w:rFonts w:ascii="宋体" w:hAnsi="宋体" w:cs="宋体" w:eastAsia="宋体"/>
          <w:sz w:val="20"/>
          <w:b/>
        </w:rPr>
        <w:t>（二）、具体参数要求</w:t>
      </w:r>
    </w:p>
    <w:p>
      <w:pPr>
        <w:pStyle w:val="null3"/>
        <w:ind w:firstLine="422"/>
        <w:jc w:val="both"/>
      </w:pPr>
      <w:r>
        <w:rPr>
          <w:rFonts w:ascii="宋体" w:hAnsi="宋体" w:cs="宋体" w:eastAsia="宋体"/>
          <w:sz w:val="21"/>
          <w:b/>
        </w:rPr>
        <w:t>1、接收机</w:t>
      </w:r>
      <w:r>
        <w:rPr>
          <w:rFonts w:ascii="宋体" w:hAnsi="宋体" w:cs="宋体" w:eastAsia="宋体"/>
          <w:sz w:val="21"/>
          <w:b/>
        </w:rPr>
        <w:t>1：</w:t>
      </w:r>
    </w:p>
    <w:p>
      <w:pPr>
        <w:pStyle w:val="null3"/>
        <w:ind w:firstLine="400"/>
        <w:jc w:val="both"/>
      </w:pPr>
      <w:r>
        <w:rPr>
          <w:rFonts w:ascii="宋体" w:hAnsi="宋体" w:cs="宋体" w:eastAsia="宋体"/>
          <w:sz w:val="20"/>
        </w:rPr>
        <w:t>★</w:t>
      </w:r>
      <w:r>
        <w:rPr>
          <w:rFonts w:ascii="宋体" w:hAnsi="宋体" w:cs="宋体" w:eastAsia="宋体"/>
          <w:sz w:val="20"/>
        </w:rPr>
        <w:t>1.1频率范围：</w:t>
      </w:r>
      <w:r>
        <w:rPr>
          <w:rFonts w:ascii="宋体" w:hAnsi="宋体" w:cs="宋体" w:eastAsia="宋体"/>
          <w:sz w:val="20"/>
        </w:rPr>
        <w:t>2</w:t>
      </w:r>
      <w:r>
        <w:rPr>
          <w:rFonts w:ascii="宋体" w:hAnsi="宋体" w:cs="宋体" w:eastAsia="宋体"/>
          <w:sz w:val="20"/>
        </w:rPr>
        <w:t>Hz~8GHz</w:t>
      </w:r>
      <w:r>
        <w:rPr>
          <w:rFonts w:ascii="宋体" w:hAnsi="宋体" w:cs="宋体" w:eastAsia="宋体"/>
          <w:sz w:val="20"/>
        </w:rPr>
        <w:t>；【评审项</w:t>
      </w:r>
      <w:r>
        <w:rPr>
          <w:rFonts w:ascii="宋体" w:hAnsi="宋体" w:cs="宋体" w:eastAsia="宋体"/>
          <w:sz w:val="20"/>
        </w:rPr>
        <w:t>3】（</w:t>
      </w:r>
      <w:r>
        <w:rPr>
          <w:rFonts w:ascii="宋体" w:hAnsi="宋体" w:cs="宋体" w:eastAsia="宋体"/>
          <w:sz w:val="20"/>
          <w:b/>
        </w:rPr>
        <w:t>提供产品彩页佐证并加盖公章</w:t>
      </w:r>
      <w:r>
        <w:rPr>
          <w:rFonts w:ascii="宋体" w:hAnsi="宋体" w:cs="宋体" w:eastAsia="宋体"/>
          <w:sz w:val="20"/>
        </w:rPr>
        <w:t>）</w:t>
      </w:r>
    </w:p>
    <w:p>
      <w:pPr>
        <w:pStyle w:val="null3"/>
        <w:ind w:firstLine="400"/>
        <w:jc w:val="both"/>
      </w:pPr>
      <w:r>
        <w:rPr>
          <w:rFonts w:ascii="宋体" w:hAnsi="宋体" w:cs="宋体" w:eastAsia="宋体"/>
          <w:sz w:val="20"/>
        </w:rPr>
        <w:t>▲</w:t>
      </w:r>
      <w:r>
        <w:rPr>
          <w:rFonts w:ascii="宋体" w:hAnsi="宋体" w:cs="宋体" w:eastAsia="宋体"/>
          <w:sz w:val="20"/>
        </w:rPr>
        <w:t>1.</w:t>
      </w:r>
      <w:r>
        <w:rPr>
          <w:rFonts w:ascii="宋体" w:hAnsi="宋体" w:cs="宋体" w:eastAsia="宋体"/>
          <w:sz w:val="20"/>
        </w:rPr>
        <w:t>2内置或者外置专门用于免授权的</w:t>
      </w:r>
      <w:r>
        <w:rPr>
          <w:rFonts w:ascii="宋体" w:hAnsi="宋体" w:cs="宋体" w:eastAsia="宋体"/>
          <w:sz w:val="20"/>
        </w:rPr>
        <w:t>2.4GHz和5.8GHz ISM频段的陷波器，衰减值为20dB；若采用外置陷波器，必须配置带屏幕显示的射频切换开关对外置滤波器进行路径切换（切换开关频率范围</w:t>
      </w:r>
      <w:r>
        <w:rPr>
          <w:rFonts w:ascii="宋体" w:hAnsi="宋体" w:cs="宋体" w:eastAsia="宋体"/>
          <w:sz w:val="20"/>
        </w:rPr>
        <w:t>与接收机主机保持一致</w:t>
      </w:r>
      <w:r>
        <w:rPr>
          <w:rFonts w:ascii="宋体" w:hAnsi="宋体" w:cs="宋体" w:eastAsia="宋体"/>
          <w:sz w:val="20"/>
        </w:rPr>
        <w:t>，全频段</w:t>
      </w:r>
      <w:r>
        <w:rPr>
          <w:rFonts w:ascii="宋体" w:hAnsi="宋体" w:cs="宋体" w:eastAsia="宋体"/>
          <w:sz w:val="20"/>
        </w:rPr>
        <w:t>VSWR&lt;1.5，全频段插损&lt;0.8dB），可程序控制与接收机主机联动</w:t>
      </w:r>
      <w:r>
        <w:rPr>
          <w:rFonts w:ascii="宋体" w:hAnsi="宋体" w:cs="宋体" w:eastAsia="宋体"/>
          <w:sz w:val="20"/>
        </w:rPr>
        <w:t>；【评审项</w:t>
      </w:r>
      <w:r>
        <w:rPr>
          <w:rFonts w:ascii="宋体" w:hAnsi="宋体" w:cs="宋体" w:eastAsia="宋体"/>
          <w:sz w:val="20"/>
        </w:rPr>
        <w:t>4】（</w:t>
      </w:r>
      <w:r>
        <w:rPr>
          <w:rFonts w:ascii="宋体" w:hAnsi="宋体" w:cs="宋体" w:eastAsia="宋体"/>
          <w:sz w:val="20"/>
          <w:b/>
        </w:rPr>
        <w:t>提供产品彩页佐证并加盖公章</w:t>
      </w:r>
      <w:r>
        <w:rPr>
          <w:rFonts w:ascii="宋体" w:hAnsi="宋体" w:cs="宋体" w:eastAsia="宋体"/>
          <w:sz w:val="20"/>
        </w:rPr>
        <w:t>）</w:t>
      </w:r>
    </w:p>
    <w:p>
      <w:pPr>
        <w:pStyle w:val="null3"/>
        <w:ind w:firstLine="422"/>
        <w:jc w:val="both"/>
      </w:pPr>
      <w:r>
        <w:rPr>
          <w:rFonts w:ascii="宋体" w:hAnsi="宋体" w:cs="宋体" w:eastAsia="宋体"/>
          <w:sz w:val="21"/>
          <w:b/>
        </w:rPr>
        <w:t>2、接收机2：</w:t>
      </w:r>
    </w:p>
    <w:p>
      <w:pPr>
        <w:pStyle w:val="null3"/>
        <w:ind w:firstLine="400"/>
        <w:jc w:val="both"/>
      </w:pPr>
      <w:r>
        <w:rPr>
          <w:rFonts w:ascii="宋体" w:hAnsi="宋体" w:cs="宋体" w:eastAsia="宋体"/>
          <w:sz w:val="20"/>
        </w:rPr>
        <w:t>★</w:t>
      </w:r>
      <w:r>
        <w:rPr>
          <w:rFonts w:ascii="宋体" w:hAnsi="宋体" w:cs="宋体" w:eastAsia="宋体"/>
          <w:sz w:val="20"/>
        </w:rPr>
        <w:t>1.1频率范围：</w:t>
      </w:r>
      <w:r>
        <w:rPr>
          <w:rFonts w:ascii="宋体" w:hAnsi="宋体" w:cs="宋体" w:eastAsia="宋体"/>
          <w:sz w:val="20"/>
        </w:rPr>
        <w:t>2</w:t>
      </w:r>
      <w:r>
        <w:rPr>
          <w:rFonts w:ascii="宋体" w:hAnsi="宋体" w:cs="宋体" w:eastAsia="宋体"/>
          <w:sz w:val="20"/>
        </w:rPr>
        <w:t>Hz~26.5GHz；</w:t>
      </w:r>
      <w:r>
        <w:rPr>
          <w:rFonts w:ascii="宋体" w:hAnsi="宋体" w:cs="宋体" w:eastAsia="宋体"/>
          <w:sz w:val="20"/>
        </w:rPr>
        <w:t>【评审项</w:t>
      </w:r>
      <w:r>
        <w:rPr>
          <w:rFonts w:ascii="宋体" w:hAnsi="宋体" w:cs="宋体" w:eastAsia="宋体"/>
          <w:sz w:val="20"/>
        </w:rPr>
        <w:t>5】</w:t>
      </w:r>
      <w:r>
        <w:rPr>
          <w:rFonts w:ascii="宋体" w:hAnsi="宋体" w:cs="宋体" w:eastAsia="宋体"/>
          <w:sz w:val="20"/>
        </w:rPr>
        <w:t>（</w:t>
      </w:r>
      <w:r>
        <w:rPr>
          <w:rFonts w:ascii="宋体" w:hAnsi="宋体" w:cs="宋体" w:eastAsia="宋体"/>
          <w:sz w:val="20"/>
          <w:b/>
        </w:rPr>
        <w:t>提供产品彩页佐证并加盖公章</w:t>
      </w:r>
      <w:r>
        <w:rPr>
          <w:rFonts w:ascii="宋体" w:hAnsi="宋体" w:cs="宋体" w:eastAsia="宋体"/>
          <w:sz w:val="20"/>
        </w:rPr>
        <w:t>）</w:t>
      </w:r>
    </w:p>
    <w:p>
      <w:pPr>
        <w:pStyle w:val="null3"/>
        <w:ind w:firstLine="400"/>
        <w:jc w:val="both"/>
      </w:pPr>
      <w:r>
        <w:rPr>
          <w:rFonts w:ascii="宋体" w:hAnsi="宋体" w:cs="宋体" w:eastAsia="宋体"/>
          <w:sz w:val="20"/>
        </w:rPr>
        <w:t>▲</w:t>
      </w:r>
      <w:r>
        <w:rPr>
          <w:rFonts w:ascii="宋体" w:hAnsi="宋体" w:cs="宋体" w:eastAsia="宋体"/>
          <w:sz w:val="20"/>
        </w:rPr>
        <w:t>1.2内置或者外置专门用于免授权的2.4GHz和5.8GHz ISM频段的陷波器，衰减值为20dB；若采用外置陷波器，必须配置带屏幕显示的射频切换开关对外置滤波器进行路径切换（切换开关频率范围与接收机主机保持一致，全频段VSWR&lt;1.5，全频段插损&lt;0.8dB），可程序控制与接收机主机联动；【评审项6】（</w:t>
      </w:r>
      <w:r>
        <w:rPr>
          <w:rFonts w:ascii="宋体" w:hAnsi="宋体" w:cs="宋体" w:eastAsia="宋体"/>
          <w:sz w:val="20"/>
          <w:b/>
        </w:rPr>
        <w:t>提供产品彩页佐证并加盖公章</w:t>
      </w:r>
      <w:r>
        <w:rPr>
          <w:rFonts w:ascii="宋体" w:hAnsi="宋体" w:cs="宋体" w:eastAsia="宋体"/>
          <w:sz w:val="20"/>
        </w:rPr>
        <w:t>）</w:t>
      </w:r>
    </w:p>
    <w:p>
      <w:pPr>
        <w:pStyle w:val="null3"/>
        <w:ind w:firstLine="422"/>
        <w:jc w:val="both"/>
      </w:pPr>
      <w:r>
        <w:rPr>
          <w:rFonts w:ascii="宋体" w:hAnsi="宋体" w:cs="宋体" w:eastAsia="宋体"/>
          <w:sz w:val="21"/>
          <w:b/>
        </w:rPr>
        <w:t>3、接收机3：</w:t>
      </w:r>
    </w:p>
    <w:p>
      <w:pPr>
        <w:pStyle w:val="null3"/>
        <w:ind w:firstLine="400"/>
        <w:jc w:val="both"/>
      </w:pPr>
      <w:r>
        <w:rPr>
          <w:rFonts w:ascii="宋体" w:hAnsi="宋体" w:cs="宋体" w:eastAsia="宋体"/>
          <w:sz w:val="20"/>
        </w:rPr>
        <w:t>★</w:t>
      </w:r>
      <w:r>
        <w:rPr>
          <w:rFonts w:ascii="宋体" w:hAnsi="宋体" w:cs="宋体" w:eastAsia="宋体"/>
          <w:sz w:val="20"/>
        </w:rPr>
        <w:t>1.1频率范围：</w:t>
      </w:r>
      <w:r>
        <w:rPr>
          <w:rFonts w:ascii="宋体" w:hAnsi="宋体" w:cs="宋体" w:eastAsia="宋体"/>
          <w:sz w:val="20"/>
        </w:rPr>
        <w:t>2</w:t>
      </w:r>
      <w:r>
        <w:rPr>
          <w:rFonts w:ascii="宋体" w:hAnsi="宋体" w:cs="宋体" w:eastAsia="宋体"/>
          <w:sz w:val="20"/>
        </w:rPr>
        <w:t>Hz~44GHz；</w:t>
      </w:r>
      <w:r>
        <w:rPr>
          <w:rFonts w:ascii="宋体" w:hAnsi="宋体" w:cs="宋体" w:eastAsia="宋体"/>
          <w:sz w:val="20"/>
        </w:rPr>
        <w:t>【评审项</w:t>
      </w:r>
      <w:r>
        <w:rPr>
          <w:rFonts w:ascii="宋体" w:hAnsi="宋体" w:cs="宋体" w:eastAsia="宋体"/>
          <w:sz w:val="20"/>
        </w:rPr>
        <w:t>7】</w:t>
      </w:r>
      <w:r>
        <w:rPr>
          <w:rFonts w:ascii="宋体" w:hAnsi="宋体" w:cs="宋体" w:eastAsia="宋体"/>
          <w:sz w:val="20"/>
        </w:rPr>
        <w:t>（</w:t>
      </w:r>
      <w:r>
        <w:rPr>
          <w:rFonts w:ascii="宋体" w:hAnsi="宋体" w:cs="宋体" w:eastAsia="宋体"/>
          <w:sz w:val="20"/>
          <w:b/>
        </w:rPr>
        <w:t>提供产品彩页佐证并加盖公章</w:t>
      </w:r>
      <w:r>
        <w:rPr>
          <w:rFonts w:ascii="宋体" w:hAnsi="宋体" w:cs="宋体" w:eastAsia="宋体"/>
          <w:sz w:val="20"/>
        </w:rPr>
        <w:t>）</w:t>
      </w:r>
    </w:p>
    <w:p>
      <w:pPr>
        <w:pStyle w:val="null3"/>
        <w:ind w:firstLine="400"/>
        <w:jc w:val="both"/>
      </w:pPr>
      <w:r>
        <w:rPr>
          <w:rFonts w:ascii="宋体" w:hAnsi="宋体" w:cs="宋体" w:eastAsia="宋体"/>
          <w:sz w:val="20"/>
        </w:rPr>
        <w:t>▲</w:t>
      </w:r>
      <w:r>
        <w:rPr>
          <w:rFonts w:ascii="宋体" w:hAnsi="宋体" w:cs="宋体" w:eastAsia="宋体"/>
          <w:sz w:val="20"/>
        </w:rPr>
        <w:t>1.2</w:t>
      </w:r>
      <w:r>
        <w:rPr>
          <w:rFonts w:ascii="宋体" w:hAnsi="宋体" w:cs="宋体" w:eastAsia="宋体"/>
          <w:sz w:val="20"/>
        </w:rPr>
        <w:t>预选器滤波器数量</w:t>
      </w:r>
      <w:r>
        <w:rPr>
          <w:rFonts w:ascii="宋体" w:hAnsi="宋体" w:cs="宋体" w:eastAsia="宋体"/>
          <w:sz w:val="20"/>
        </w:rPr>
        <w:t>≥</w:t>
      </w:r>
      <w:r>
        <w:rPr>
          <w:rFonts w:ascii="宋体" w:hAnsi="宋体" w:cs="宋体" w:eastAsia="宋体"/>
          <w:sz w:val="20"/>
        </w:rPr>
        <w:t>16</w:t>
      </w:r>
      <w:r>
        <w:rPr>
          <w:rFonts w:ascii="宋体" w:hAnsi="宋体" w:cs="宋体" w:eastAsia="宋体"/>
          <w:sz w:val="20"/>
        </w:rPr>
        <w:t>；【评审项</w:t>
      </w:r>
      <w:r>
        <w:rPr>
          <w:rFonts w:ascii="宋体" w:hAnsi="宋体" w:cs="宋体" w:eastAsia="宋体"/>
          <w:sz w:val="20"/>
        </w:rPr>
        <w:t>8】（</w:t>
      </w:r>
      <w:r>
        <w:rPr>
          <w:rFonts w:ascii="宋体" w:hAnsi="宋体" w:cs="宋体" w:eastAsia="宋体"/>
          <w:sz w:val="20"/>
          <w:b/>
        </w:rPr>
        <w:t>提供产品彩页佐证并加盖公章</w:t>
      </w:r>
      <w:r>
        <w:rPr>
          <w:rFonts w:ascii="宋体" w:hAnsi="宋体" w:cs="宋体" w:eastAsia="宋体"/>
          <w:sz w:val="20"/>
        </w:rPr>
        <w:t>）</w:t>
      </w:r>
    </w:p>
    <w:p>
      <w:pPr>
        <w:pStyle w:val="null3"/>
        <w:ind w:firstLine="400"/>
        <w:jc w:val="both"/>
      </w:pPr>
      <w:r>
        <w:rPr>
          <w:rFonts w:ascii="宋体" w:hAnsi="宋体" w:cs="宋体" w:eastAsia="宋体"/>
          <w:sz w:val="20"/>
        </w:rPr>
        <w:t>▲1.3内置或者外置专门用于免授权的2.4GHz和5.8GHz ISM频段的陷波器，衰减值为20dB；若采用外置陷波器，必须配置带屏幕显示的射频切换开关对外置滤波器进行路径切换（切换开关频率范围与接收机主机保持一致，全频段VSWR&lt;</w:t>
      </w:r>
      <w:r>
        <w:rPr>
          <w:rFonts w:ascii="宋体" w:hAnsi="宋体" w:cs="宋体" w:eastAsia="宋体"/>
          <w:sz w:val="20"/>
        </w:rPr>
        <w:t>2</w:t>
      </w:r>
      <w:r>
        <w:rPr>
          <w:rFonts w:ascii="宋体" w:hAnsi="宋体" w:cs="宋体" w:eastAsia="宋体"/>
          <w:sz w:val="20"/>
        </w:rPr>
        <w:t>，全频段插损</w:t>
      </w:r>
      <w:r>
        <w:rPr>
          <w:rFonts w:ascii="宋体" w:hAnsi="宋体" w:cs="宋体" w:eastAsia="宋体"/>
          <w:sz w:val="20"/>
        </w:rPr>
        <w:t>&lt;1dB），可程序控制与接收机主机联动；【评审项9】（</w:t>
      </w:r>
      <w:r>
        <w:rPr>
          <w:rFonts w:ascii="宋体" w:hAnsi="宋体" w:cs="宋体" w:eastAsia="宋体"/>
          <w:sz w:val="20"/>
          <w:b/>
        </w:rPr>
        <w:t>提供产品彩页佐证并加盖公章</w:t>
      </w:r>
      <w:r>
        <w:rPr>
          <w:rFonts w:ascii="宋体" w:hAnsi="宋体" w:cs="宋体" w:eastAsia="宋体"/>
          <w:sz w:val="20"/>
        </w:rPr>
        <w:t>）</w:t>
      </w:r>
    </w:p>
    <w:p>
      <w:pPr>
        <w:pStyle w:val="null3"/>
        <w:ind w:left="420" w:firstLine="422"/>
        <w:jc w:val="both"/>
      </w:pPr>
      <w:r>
        <w:rPr>
          <w:rFonts w:ascii="宋体" w:hAnsi="宋体" w:cs="宋体" w:eastAsia="宋体"/>
          <w:sz w:val="21"/>
          <w:b/>
        </w:rPr>
        <w:t>4、接收机1、接收机2和接收机3均需满足以下技术参数：</w:t>
      </w:r>
    </w:p>
    <w:p>
      <w:pPr>
        <w:pStyle w:val="null3"/>
        <w:ind w:firstLine="400"/>
        <w:jc w:val="both"/>
      </w:pPr>
      <w:r>
        <w:rPr>
          <w:rFonts w:ascii="宋体" w:hAnsi="宋体" w:cs="宋体" w:eastAsia="宋体"/>
          <w:sz w:val="20"/>
        </w:rPr>
        <w:t>▲</w:t>
      </w:r>
      <w:r>
        <w:rPr>
          <w:rFonts w:ascii="宋体" w:hAnsi="宋体" w:cs="宋体" w:eastAsia="宋体"/>
          <w:sz w:val="20"/>
        </w:rPr>
        <w:t>1.</w:t>
      </w:r>
      <w:r>
        <w:rPr>
          <w:rFonts w:ascii="宋体" w:hAnsi="宋体" w:cs="宋体" w:eastAsia="宋体"/>
          <w:sz w:val="20"/>
        </w:rPr>
        <w:t>1</w:t>
      </w:r>
      <w:r>
        <w:rPr>
          <w:rFonts w:ascii="宋体" w:hAnsi="宋体" w:cs="宋体" w:eastAsia="宋体"/>
          <w:sz w:val="20"/>
        </w:rPr>
        <w:t>符合</w:t>
      </w:r>
      <w:r>
        <w:rPr>
          <w:rFonts w:ascii="宋体" w:hAnsi="宋体" w:cs="宋体" w:eastAsia="宋体"/>
          <w:sz w:val="20"/>
        </w:rPr>
        <w:t>CISPR 16-1-1对接收机的要求</w:t>
      </w:r>
      <w:r>
        <w:rPr>
          <w:rFonts w:ascii="宋体" w:hAnsi="宋体" w:cs="宋体" w:eastAsia="宋体"/>
          <w:sz w:val="20"/>
        </w:rPr>
        <w:t>；配备完全符合</w:t>
      </w:r>
      <w:r>
        <w:rPr>
          <w:rFonts w:ascii="宋体" w:hAnsi="宋体" w:cs="宋体" w:eastAsia="宋体"/>
          <w:sz w:val="20"/>
        </w:rPr>
        <w:t>CISPR 16-1-1的FFT扫描功能，FFT测量速度满足：(150kHz ~ 30MHz, RBW = 9kHz, measurement time = 100 ms, peak detector): 110 ms (meas.)；(150kHz ~ 30MHz, RBW = 9kHz, measurement time = 1 s, quasi-peak detector): 2 s (meas.)；(30MHz ~ 1000MHz, RBW = 120 kHz, measurement time = 10 ms, peak detector): ＜</w:t>
      </w:r>
      <w:r>
        <w:rPr>
          <w:rFonts w:ascii="宋体" w:hAnsi="宋体" w:cs="宋体" w:eastAsia="宋体"/>
          <w:sz w:val="20"/>
        </w:rPr>
        <w:t>500 ms (meas.)</w:t>
      </w:r>
      <w:r>
        <w:rPr>
          <w:rFonts w:ascii="宋体" w:hAnsi="宋体" w:cs="宋体" w:eastAsia="宋体"/>
          <w:sz w:val="20"/>
        </w:rPr>
        <w:t>；【评审项</w:t>
      </w:r>
      <w:r>
        <w:rPr>
          <w:rFonts w:ascii="宋体" w:hAnsi="宋体" w:cs="宋体" w:eastAsia="宋体"/>
          <w:sz w:val="20"/>
        </w:rPr>
        <w:t>10</w:t>
      </w:r>
      <w:r>
        <w:rPr>
          <w:rFonts w:ascii="宋体" w:hAnsi="宋体" w:cs="宋体" w:eastAsia="宋体"/>
          <w:sz w:val="20"/>
        </w:rPr>
        <w:t>】</w:t>
      </w:r>
      <w:r>
        <w:rPr>
          <w:rFonts w:ascii="&quot;times new roman&quot;" w:hAnsi="&quot;times new roman&quot;" w:cs="&quot;times new roman&quot;" w:eastAsia="&quot;times new roman&quot;"/>
          <w:sz w:val="21"/>
        </w:rPr>
        <w:t xml:space="preserve">  </w:t>
      </w:r>
      <w:r>
        <w:rPr>
          <w:rFonts w:ascii="宋体" w:hAnsi="宋体" w:cs="宋体" w:eastAsia="宋体"/>
          <w:sz w:val="20"/>
        </w:rPr>
        <w:t>；</w:t>
      </w:r>
      <w:r>
        <w:rPr>
          <w:rFonts w:ascii="宋体" w:hAnsi="宋体" w:cs="宋体" w:eastAsia="宋体"/>
          <w:sz w:val="20"/>
        </w:rPr>
        <w:t>（</w:t>
      </w:r>
      <w:r>
        <w:rPr>
          <w:rFonts w:ascii="宋体" w:hAnsi="宋体" w:cs="宋体" w:eastAsia="宋体"/>
          <w:sz w:val="20"/>
          <w:b/>
        </w:rPr>
        <w:t>提供产品彩页佐证并加盖公章</w:t>
      </w:r>
      <w:r>
        <w:rPr>
          <w:rFonts w:ascii="宋体" w:hAnsi="宋体" w:cs="宋体" w:eastAsia="宋体"/>
          <w:sz w:val="20"/>
        </w:rPr>
        <w:t>）</w:t>
      </w:r>
      <w:r>
        <w:rPr>
          <w:rFonts w:ascii="&quot;times new roman&quot;" w:hAnsi="&quot;times new roman&quot;" w:cs="&quot;times new roman&quot;" w:eastAsia="&quot;times new roman&quot;"/>
          <w:sz w:val="21"/>
        </w:rPr>
        <w:t xml:space="preserve">     </w:t>
      </w:r>
    </w:p>
    <w:p>
      <w:pPr>
        <w:pStyle w:val="null3"/>
        <w:ind w:firstLine="400"/>
        <w:jc w:val="both"/>
      </w:pPr>
      <w:r>
        <w:rPr>
          <w:rFonts w:ascii="宋体" w:hAnsi="宋体" w:cs="宋体" w:eastAsia="宋体"/>
          <w:sz w:val="20"/>
        </w:rPr>
        <w:t>▲</w:t>
      </w:r>
      <w:r>
        <w:rPr>
          <w:rFonts w:ascii="宋体" w:hAnsi="宋体" w:cs="宋体" w:eastAsia="宋体"/>
          <w:sz w:val="20"/>
        </w:rPr>
        <w:t>1.2接收机频率分辨率：</w:t>
      </w:r>
      <w:r>
        <w:rPr>
          <w:rFonts w:ascii="宋体" w:hAnsi="宋体" w:cs="宋体" w:eastAsia="宋体"/>
          <w:sz w:val="20"/>
        </w:rPr>
        <w:t>≤</w:t>
      </w:r>
      <w:r>
        <w:rPr>
          <w:rFonts w:ascii="宋体" w:hAnsi="宋体" w:cs="宋体" w:eastAsia="宋体"/>
          <w:sz w:val="20"/>
        </w:rPr>
        <w:t>2Hz</w:t>
      </w:r>
      <w:r>
        <w:rPr>
          <w:rFonts w:ascii="宋体" w:hAnsi="宋体" w:cs="宋体" w:eastAsia="宋体"/>
          <w:sz w:val="20"/>
        </w:rPr>
        <w:t>；【评审项</w:t>
      </w:r>
      <w:r>
        <w:rPr>
          <w:rFonts w:ascii="宋体" w:hAnsi="宋体" w:cs="宋体" w:eastAsia="宋体"/>
          <w:sz w:val="20"/>
        </w:rPr>
        <w:t>11】</w:t>
      </w:r>
      <w:r>
        <w:rPr>
          <w:rFonts w:ascii="宋体" w:hAnsi="宋体" w:cs="宋体" w:eastAsia="宋体"/>
          <w:sz w:val="20"/>
        </w:rPr>
        <w:t>（</w:t>
      </w:r>
      <w:r>
        <w:rPr>
          <w:rFonts w:ascii="宋体" w:hAnsi="宋体" w:cs="宋体" w:eastAsia="宋体"/>
          <w:sz w:val="20"/>
          <w:b/>
        </w:rPr>
        <w:t>提供产品彩页佐证并加盖公章</w:t>
      </w:r>
      <w:r>
        <w:rPr>
          <w:rFonts w:ascii="宋体" w:hAnsi="宋体" w:cs="宋体" w:eastAsia="宋体"/>
          <w:sz w:val="20"/>
        </w:rPr>
        <w:t>）</w:t>
      </w:r>
    </w:p>
    <w:p>
      <w:pPr>
        <w:pStyle w:val="null3"/>
        <w:ind w:firstLine="400"/>
        <w:jc w:val="both"/>
      </w:pPr>
      <w:r>
        <w:rPr>
          <w:rFonts w:ascii="宋体" w:hAnsi="宋体" w:cs="宋体" w:eastAsia="宋体"/>
          <w:sz w:val="20"/>
        </w:rPr>
        <w:t>1.3输入端口：2个；【评审项12】</w:t>
      </w:r>
    </w:p>
    <w:p>
      <w:pPr>
        <w:pStyle w:val="null3"/>
        <w:ind w:firstLine="400"/>
        <w:jc w:val="both"/>
      </w:pPr>
      <w:r>
        <w:rPr>
          <w:rFonts w:ascii="宋体" w:hAnsi="宋体" w:cs="宋体" w:eastAsia="宋体"/>
          <w:sz w:val="20"/>
        </w:rPr>
        <w:t>▲</w:t>
      </w:r>
      <w:r>
        <w:rPr>
          <w:rFonts w:ascii="宋体" w:hAnsi="宋体" w:cs="宋体" w:eastAsia="宋体"/>
          <w:sz w:val="20"/>
        </w:rPr>
        <w:t>1.4 EMI测量带宽：包含10Hz，100Hz，200Hz，1kHz，9kHz，10kHz，100kHz，120kHz，1MHz；</w:t>
      </w:r>
      <w:r>
        <w:rPr>
          <w:rFonts w:ascii="宋体" w:hAnsi="宋体" w:cs="宋体" w:eastAsia="宋体"/>
          <w:sz w:val="20"/>
        </w:rPr>
        <w:t>【评审项</w:t>
      </w:r>
      <w:r>
        <w:rPr>
          <w:rFonts w:ascii="宋体" w:hAnsi="宋体" w:cs="宋体" w:eastAsia="宋体"/>
          <w:sz w:val="20"/>
        </w:rPr>
        <w:t>13】</w:t>
      </w:r>
      <w:r>
        <w:rPr>
          <w:rFonts w:ascii="宋体" w:hAnsi="宋体" w:cs="宋体" w:eastAsia="宋体"/>
          <w:sz w:val="20"/>
        </w:rPr>
        <w:t>（</w:t>
      </w:r>
      <w:r>
        <w:rPr>
          <w:rFonts w:ascii="宋体" w:hAnsi="宋体" w:cs="宋体" w:eastAsia="宋体"/>
          <w:sz w:val="20"/>
          <w:b/>
        </w:rPr>
        <w:t>提供产品彩页佐证并加盖公章</w:t>
      </w:r>
      <w:r>
        <w:rPr>
          <w:rFonts w:ascii="宋体" w:hAnsi="宋体" w:cs="宋体" w:eastAsia="宋体"/>
          <w:sz w:val="20"/>
        </w:rPr>
        <w:t>）</w:t>
      </w:r>
    </w:p>
    <w:p>
      <w:pPr>
        <w:pStyle w:val="null3"/>
        <w:ind w:firstLine="400"/>
        <w:jc w:val="both"/>
      </w:pPr>
      <w:r>
        <w:rPr>
          <w:rFonts w:ascii="宋体" w:hAnsi="宋体" w:cs="宋体" w:eastAsia="宋体"/>
          <w:sz w:val="20"/>
        </w:rPr>
        <w:t>▲</w:t>
      </w:r>
      <w:r>
        <w:rPr>
          <w:rFonts w:ascii="宋体" w:hAnsi="宋体" w:cs="宋体" w:eastAsia="宋体"/>
          <w:sz w:val="20"/>
        </w:rPr>
        <w:t xml:space="preserve">1.5 EMI </w:t>
      </w:r>
      <w:r>
        <w:rPr>
          <w:rFonts w:ascii="宋体" w:hAnsi="宋体" w:cs="宋体" w:eastAsia="宋体"/>
          <w:sz w:val="20"/>
        </w:rPr>
        <w:t>扫描每轨迹点数：</w:t>
      </w:r>
      <w:r>
        <w:rPr>
          <w:rFonts w:ascii="宋体" w:hAnsi="宋体" w:cs="宋体" w:eastAsia="宋体"/>
          <w:sz w:val="20"/>
        </w:rPr>
        <w:t>≥</w:t>
      </w:r>
      <w:r>
        <w:rPr>
          <w:rFonts w:ascii="宋体" w:hAnsi="宋体" w:cs="宋体" w:eastAsia="宋体"/>
          <w:sz w:val="20"/>
        </w:rPr>
        <w:t>4,000,000</w:t>
      </w:r>
      <w:r>
        <w:rPr>
          <w:rFonts w:ascii="宋体" w:hAnsi="宋体" w:cs="宋体" w:eastAsia="宋体"/>
          <w:sz w:val="20"/>
        </w:rPr>
        <w:t>；【评审项</w:t>
      </w:r>
      <w:r>
        <w:rPr>
          <w:rFonts w:ascii="宋体" w:hAnsi="宋体" w:cs="宋体" w:eastAsia="宋体"/>
          <w:sz w:val="20"/>
        </w:rPr>
        <w:t>14】（</w:t>
      </w:r>
      <w:r>
        <w:rPr>
          <w:rFonts w:ascii="宋体" w:hAnsi="宋体" w:cs="宋体" w:eastAsia="宋体"/>
          <w:sz w:val="20"/>
          <w:b/>
        </w:rPr>
        <w:t>提供产品彩页佐证并加盖公章</w:t>
      </w:r>
      <w:r>
        <w:rPr>
          <w:rFonts w:ascii="宋体" w:hAnsi="宋体" w:cs="宋体" w:eastAsia="宋体"/>
          <w:sz w:val="20"/>
        </w:rPr>
        <w:t>）</w:t>
      </w:r>
    </w:p>
    <w:p>
      <w:pPr>
        <w:pStyle w:val="null3"/>
        <w:ind w:firstLine="400"/>
        <w:jc w:val="both"/>
      </w:pPr>
      <w:r>
        <w:rPr>
          <w:rFonts w:ascii="宋体" w:hAnsi="宋体" w:cs="宋体" w:eastAsia="宋体"/>
          <w:sz w:val="20"/>
        </w:rPr>
        <w:t>1.</w:t>
      </w:r>
      <w:r>
        <w:rPr>
          <w:rFonts w:ascii="宋体" w:hAnsi="宋体" w:cs="宋体" w:eastAsia="宋体"/>
          <w:sz w:val="20"/>
        </w:rPr>
        <w:t>6曲线数量：≥</w:t>
      </w:r>
      <w:r>
        <w:rPr>
          <w:rFonts w:ascii="宋体" w:hAnsi="宋体" w:cs="宋体" w:eastAsia="宋体"/>
          <w:sz w:val="20"/>
        </w:rPr>
        <w:t>6；</w:t>
      </w:r>
      <w:r>
        <w:rPr>
          <w:rFonts w:ascii="宋体" w:hAnsi="宋体" w:cs="宋体" w:eastAsia="宋体"/>
          <w:sz w:val="20"/>
        </w:rPr>
        <w:t>【评审项</w:t>
      </w:r>
      <w:r>
        <w:rPr>
          <w:rFonts w:ascii="宋体" w:hAnsi="宋体" w:cs="宋体" w:eastAsia="宋体"/>
          <w:sz w:val="20"/>
        </w:rPr>
        <w:t>15】</w:t>
      </w:r>
    </w:p>
    <w:p>
      <w:pPr>
        <w:pStyle w:val="null3"/>
        <w:ind w:firstLine="400"/>
        <w:jc w:val="both"/>
      </w:pPr>
      <w:r>
        <w:rPr>
          <w:rFonts w:ascii="宋体" w:hAnsi="宋体" w:cs="宋体" w:eastAsia="宋体"/>
          <w:sz w:val="20"/>
        </w:rPr>
        <w:t>1.</w:t>
      </w:r>
      <w:r>
        <w:rPr>
          <w:rFonts w:ascii="宋体" w:hAnsi="宋体" w:cs="宋体" w:eastAsia="宋体"/>
          <w:sz w:val="20"/>
        </w:rPr>
        <w:t>7检波方式：</w:t>
      </w:r>
      <w:r>
        <w:rPr>
          <w:rFonts w:ascii="宋体" w:hAnsi="宋体" w:cs="宋体" w:eastAsia="宋体"/>
          <w:sz w:val="20"/>
        </w:rPr>
        <w:t>Peak、RMS、Average、QP、CISPR-AV、CISPR-RMS；【评审项1</w:t>
      </w:r>
      <w:r>
        <w:rPr>
          <w:rFonts w:ascii="宋体" w:hAnsi="宋体" w:cs="宋体" w:eastAsia="宋体"/>
          <w:sz w:val="20"/>
        </w:rPr>
        <w:t>6】</w:t>
      </w:r>
    </w:p>
    <w:p>
      <w:pPr>
        <w:pStyle w:val="null3"/>
        <w:ind w:firstLine="400"/>
        <w:jc w:val="both"/>
      </w:pPr>
      <w:r>
        <w:rPr>
          <w:rFonts w:ascii="宋体" w:hAnsi="宋体" w:cs="宋体" w:eastAsia="宋体"/>
          <w:sz w:val="20"/>
        </w:rPr>
        <w:t>▲</w:t>
      </w:r>
      <w:r>
        <w:rPr>
          <w:rFonts w:ascii="宋体" w:hAnsi="宋体" w:cs="宋体" w:eastAsia="宋体"/>
          <w:sz w:val="20"/>
        </w:rPr>
        <w:t>1.8互调1dB压缩点输入功率（预选器</w:t>
      </w:r>
      <w:r>
        <w:rPr>
          <w:rFonts w:ascii="宋体" w:hAnsi="宋体" w:cs="宋体" w:eastAsia="宋体"/>
          <w:sz w:val="20"/>
        </w:rPr>
        <w:t>关，前置放大器关，低噪放关），</w:t>
      </w:r>
      <w:r>
        <w:rPr>
          <w:rFonts w:ascii="宋体" w:hAnsi="宋体" w:cs="宋体" w:eastAsia="宋体"/>
          <w:sz w:val="20"/>
        </w:rPr>
        <w:t>f≤3GHz</w:t>
      </w:r>
      <w:r>
        <w:rPr>
          <w:rFonts w:ascii="宋体" w:hAnsi="宋体" w:cs="宋体" w:eastAsia="宋体"/>
          <w:sz w:val="20"/>
        </w:rPr>
        <w:t>时：</w:t>
      </w:r>
      <w:r>
        <w:rPr>
          <w:rFonts w:ascii="&quot;times new roman&quot;" w:hAnsi="&quot;times new roman&quot;" w:cs="&quot;times new roman&quot;" w:eastAsia="&quot;times new roman&quot;"/>
          <w:sz w:val="21"/>
        </w:rPr>
        <w:t xml:space="preserve"> </w:t>
      </w:r>
      <w:r>
        <w:rPr>
          <w:rFonts w:ascii="宋体" w:hAnsi="宋体" w:cs="宋体" w:eastAsia="宋体"/>
          <w:sz w:val="20"/>
        </w:rPr>
        <w:t>≥</w:t>
      </w:r>
      <w:r>
        <w:rPr>
          <w:rFonts w:ascii="宋体" w:hAnsi="宋体" w:cs="宋体" w:eastAsia="宋体"/>
          <w:sz w:val="20"/>
        </w:rPr>
        <w:t>5dBm (nom.)</w:t>
      </w:r>
      <w:r>
        <w:rPr>
          <w:rFonts w:ascii="宋体" w:hAnsi="宋体" w:cs="宋体" w:eastAsia="宋体"/>
          <w:sz w:val="20"/>
        </w:rPr>
        <w:t>；【评审项</w:t>
      </w:r>
      <w:r>
        <w:rPr>
          <w:rFonts w:ascii="宋体" w:hAnsi="宋体" w:cs="宋体" w:eastAsia="宋体"/>
          <w:sz w:val="20"/>
        </w:rPr>
        <w:t>17】</w:t>
      </w:r>
      <w:r>
        <w:rPr>
          <w:rFonts w:ascii="宋体" w:hAnsi="宋体" w:cs="宋体" w:eastAsia="宋体"/>
          <w:sz w:val="20"/>
        </w:rPr>
        <w:t>（</w:t>
      </w:r>
      <w:r>
        <w:rPr>
          <w:rFonts w:ascii="宋体" w:hAnsi="宋体" w:cs="宋体" w:eastAsia="宋体"/>
          <w:sz w:val="20"/>
          <w:b/>
        </w:rPr>
        <w:t>提供产品彩页佐证并加盖公章</w:t>
      </w:r>
      <w:r>
        <w:rPr>
          <w:rFonts w:ascii="宋体" w:hAnsi="宋体" w:cs="宋体" w:eastAsia="宋体"/>
          <w:sz w:val="20"/>
        </w:rPr>
        <w:t>）</w:t>
      </w:r>
    </w:p>
    <w:p>
      <w:pPr>
        <w:pStyle w:val="null3"/>
        <w:ind w:firstLine="400"/>
        <w:jc w:val="both"/>
      </w:pPr>
      <w:r>
        <w:rPr>
          <w:rFonts w:ascii="宋体" w:hAnsi="宋体" w:cs="宋体" w:eastAsia="宋体"/>
          <w:sz w:val="20"/>
        </w:rPr>
        <w:t>1.</w:t>
      </w:r>
      <w:r>
        <w:rPr>
          <w:rFonts w:ascii="宋体" w:hAnsi="宋体" w:cs="宋体" w:eastAsia="宋体"/>
          <w:sz w:val="20"/>
        </w:rPr>
        <w:t>9扫描时间（</w:t>
      </w:r>
      <w:r>
        <w:rPr>
          <w:rFonts w:ascii="宋体" w:hAnsi="宋体" w:cs="宋体" w:eastAsia="宋体"/>
          <w:sz w:val="20"/>
        </w:rPr>
        <w:t xml:space="preserve">span = 0Hz）：1 </w:t>
      </w:r>
      <w:r>
        <w:rPr>
          <w:rFonts w:ascii="宋体" w:hAnsi="宋体" w:cs="宋体" w:eastAsia="宋体"/>
          <w:sz w:val="20"/>
        </w:rPr>
        <w:t>μ</w:t>
      </w:r>
      <w:r>
        <w:rPr>
          <w:rFonts w:ascii="宋体" w:hAnsi="宋体" w:cs="宋体" w:eastAsia="宋体"/>
          <w:sz w:val="20"/>
        </w:rPr>
        <w:t xml:space="preserve">s </w:t>
      </w:r>
      <w:r>
        <w:rPr>
          <w:rFonts w:ascii="宋体" w:hAnsi="宋体" w:cs="宋体" w:eastAsia="宋体"/>
          <w:sz w:val="20"/>
        </w:rPr>
        <w:t>到</w:t>
      </w:r>
      <w:r>
        <w:rPr>
          <w:rFonts w:ascii="宋体" w:hAnsi="宋体" w:cs="宋体" w:eastAsia="宋体"/>
          <w:sz w:val="20"/>
        </w:rPr>
        <w:t xml:space="preserve"> 4000 s；</w:t>
      </w:r>
      <w:r>
        <w:rPr>
          <w:rFonts w:ascii="宋体" w:hAnsi="宋体" w:cs="宋体" w:eastAsia="宋体"/>
          <w:sz w:val="20"/>
        </w:rPr>
        <w:t>【评审项</w:t>
      </w:r>
      <w:r>
        <w:rPr>
          <w:rFonts w:ascii="宋体" w:hAnsi="宋体" w:cs="宋体" w:eastAsia="宋体"/>
          <w:sz w:val="20"/>
        </w:rPr>
        <w:t>1</w:t>
      </w:r>
      <w:r>
        <w:rPr>
          <w:rFonts w:ascii="宋体" w:hAnsi="宋体" w:cs="宋体" w:eastAsia="宋体"/>
          <w:sz w:val="20"/>
        </w:rPr>
        <w:t>8】</w:t>
      </w:r>
    </w:p>
    <w:p>
      <w:pPr>
        <w:pStyle w:val="null3"/>
        <w:ind w:firstLine="400"/>
        <w:jc w:val="both"/>
      </w:pPr>
      <w:r>
        <w:rPr>
          <w:rFonts w:ascii="宋体" w:hAnsi="宋体" w:cs="宋体" w:eastAsia="宋体"/>
          <w:sz w:val="20"/>
        </w:rPr>
        <w:t xml:space="preserve">1.10 </w:t>
      </w:r>
      <w:r>
        <w:rPr>
          <w:rFonts w:ascii="宋体" w:hAnsi="宋体" w:cs="宋体" w:eastAsia="宋体"/>
          <w:sz w:val="20"/>
        </w:rPr>
        <w:t>相位噪声（</w:t>
      </w:r>
      <w:r>
        <w:rPr>
          <w:rFonts w:ascii="宋体" w:hAnsi="宋体" w:cs="宋体" w:eastAsia="宋体"/>
          <w:sz w:val="20"/>
        </w:rPr>
        <w:t xml:space="preserve">f = 1GHz）频偏：100 Hz： </w:t>
      </w:r>
      <w:r>
        <w:rPr>
          <w:rFonts w:ascii="宋体" w:hAnsi="宋体" w:cs="宋体" w:eastAsia="宋体"/>
          <w:sz w:val="20"/>
        </w:rPr>
        <w:t>≤</w:t>
      </w:r>
      <w:r>
        <w:rPr>
          <w:rFonts w:ascii="&quot;times new roman&quot;" w:hAnsi="&quot;times new roman&quot;" w:cs="&quot;times new roman&quot;" w:eastAsia="&quot;times new roman&quot;"/>
          <w:sz w:val="21"/>
        </w:rPr>
        <w:t xml:space="preserve"> </w:t>
      </w:r>
      <w:r>
        <w:rPr>
          <w:rFonts w:ascii="宋体" w:hAnsi="宋体" w:cs="宋体" w:eastAsia="宋体"/>
          <w:sz w:val="20"/>
        </w:rPr>
        <w:t>–</w:t>
      </w:r>
      <w:r>
        <w:rPr>
          <w:rFonts w:ascii="宋体" w:hAnsi="宋体" w:cs="宋体" w:eastAsia="宋体"/>
          <w:sz w:val="20"/>
        </w:rPr>
        <w:t xml:space="preserve">91 dBc/Hz（保证值），10 kHz：≤–113 dBc/Hz（保证值），100 kHz </w:t>
      </w:r>
      <w:r>
        <w:rPr>
          <w:rFonts w:ascii="宋体" w:hAnsi="宋体" w:cs="宋体" w:eastAsia="宋体"/>
          <w:sz w:val="20"/>
        </w:rPr>
        <w:t>：</w:t>
      </w:r>
      <w:r>
        <w:rPr>
          <w:rFonts w:ascii="宋体" w:hAnsi="宋体" w:cs="宋体" w:eastAsia="宋体"/>
          <w:sz w:val="20"/>
        </w:rPr>
        <w:t>≤–</w:t>
      </w:r>
      <w:r>
        <w:rPr>
          <w:rFonts w:ascii="宋体" w:hAnsi="宋体" w:cs="宋体" w:eastAsia="宋体"/>
          <w:sz w:val="20"/>
        </w:rPr>
        <w:t xml:space="preserve">116 dBc/Hz（保证值）； </w:t>
      </w:r>
      <w:r>
        <w:rPr>
          <w:rFonts w:ascii="宋体" w:hAnsi="宋体" w:cs="宋体" w:eastAsia="宋体"/>
          <w:sz w:val="20"/>
        </w:rPr>
        <w:t>【评审项</w:t>
      </w:r>
      <w:r>
        <w:rPr>
          <w:rFonts w:ascii="宋体" w:hAnsi="宋体" w:cs="宋体" w:eastAsia="宋体"/>
          <w:sz w:val="20"/>
        </w:rPr>
        <w:t>19</w:t>
      </w:r>
      <w:r>
        <w:rPr>
          <w:rFonts w:ascii="宋体" w:hAnsi="宋体" w:cs="宋体" w:eastAsia="宋体"/>
          <w:sz w:val="20"/>
        </w:rPr>
        <w:t>】</w:t>
      </w:r>
    </w:p>
    <w:p>
      <w:pPr>
        <w:pStyle w:val="null3"/>
        <w:ind w:firstLine="400"/>
        <w:jc w:val="both"/>
      </w:pPr>
      <w:r>
        <w:rPr>
          <w:rFonts w:ascii="宋体" w:hAnsi="宋体" w:cs="宋体" w:eastAsia="宋体"/>
          <w:sz w:val="20"/>
        </w:rPr>
        <w:t>▲</w:t>
      </w:r>
      <w:r>
        <w:rPr>
          <w:rFonts w:ascii="宋体" w:hAnsi="宋体" w:cs="宋体" w:eastAsia="宋体"/>
          <w:sz w:val="20"/>
        </w:rPr>
        <w:t>1.</w:t>
      </w:r>
      <w:r>
        <w:rPr>
          <w:rFonts w:ascii="宋体" w:hAnsi="宋体" w:cs="宋体" w:eastAsia="宋体"/>
          <w:sz w:val="20"/>
        </w:rPr>
        <w:t>11内置衰减器设置范围宽于或等于</w:t>
      </w:r>
      <w:r>
        <w:rPr>
          <w:rFonts w:ascii="宋体" w:hAnsi="宋体" w:cs="宋体" w:eastAsia="宋体"/>
          <w:sz w:val="20"/>
        </w:rPr>
        <w:t xml:space="preserve">0 dB </w:t>
      </w:r>
      <w:r>
        <w:rPr>
          <w:rFonts w:ascii="宋体" w:hAnsi="宋体" w:cs="宋体" w:eastAsia="宋体"/>
          <w:sz w:val="20"/>
        </w:rPr>
        <w:t>到</w:t>
      </w:r>
      <w:r>
        <w:rPr>
          <w:rFonts w:ascii="宋体" w:hAnsi="宋体" w:cs="宋体" w:eastAsia="宋体"/>
          <w:sz w:val="20"/>
        </w:rPr>
        <w:t>70 dB，最小</w:t>
      </w:r>
      <w:r>
        <w:rPr>
          <w:rFonts w:ascii="宋体" w:hAnsi="宋体" w:cs="宋体" w:eastAsia="宋体"/>
          <w:sz w:val="20"/>
        </w:rPr>
        <w:t>设置步进</w:t>
      </w:r>
      <w:r>
        <w:rPr>
          <w:rFonts w:ascii="宋体" w:hAnsi="宋体" w:cs="宋体" w:eastAsia="宋体"/>
          <w:sz w:val="20"/>
        </w:rPr>
        <w:t>≤5d</w:t>
      </w:r>
      <w:r>
        <w:rPr>
          <w:rFonts w:ascii="宋体" w:hAnsi="宋体" w:cs="宋体" w:eastAsia="宋体"/>
          <w:sz w:val="20"/>
        </w:rPr>
        <w:t>B</w:t>
      </w:r>
      <w:r>
        <w:rPr>
          <w:rFonts w:ascii="宋体" w:hAnsi="宋体" w:cs="宋体" w:eastAsia="宋体"/>
          <w:sz w:val="20"/>
        </w:rPr>
        <w:t>；【评审项</w:t>
      </w:r>
      <w:r>
        <w:rPr>
          <w:rFonts w:ascii="宋体" w:hAnsi="宋体" w:cs="宋体" w:eastAsia="宋体"/>
          <w:sz w:val="20"/>
        </w:rPr>
        <w:t>20】（</w:t>
      </w:r>
      <w:r>
        <w:rPr>
          <w:rFonts w:ascii="宋体" w:hAnsi="宋体" w:cs="宋体" w:eastAsia="宋体"/>
          <w:sz w:val="20"/>
          <w:b/>
        </w:rPr>
        <w:t>提供产品彩页佐证并加盖公章</w:t>
      </w:r>
      <w:r>
        <w:rPr>
          <w:rFonts w:ascii="宋体" w:hAnsi="宋体" w:cs="宋体" w:eastAsia="宋体"/>
          <w:sz w:val="20"/>
        </w:rPr>
        <w:t>）</w:t>
      </w:r>
    </w:p>
    <w:p>
      <w:pPr>
        <w:pStyle w:val="null3"/>
        <w:ind w:firstLine="400"/>
        <w:jc w:val="both"/>
      </w:pPr>
      <w:r>
        <w:rPr>
          <w:rFonts w:ascii="宋体" w:hAnsi="宋体" w:cs="宋体" w:eastAsia="宋体"/>
          <w:sz w:val="20"/>
        </w:rPr>
        <w:t>1</w:t>
      </w:r>
      <w:r>
        <w:rPr>
          <w:rFonts w:ascii="宋体" w:hAnsi="宋体" w:cs="宋体" w:eastAsia="宋体"/>
          <w:sz w:val="20"/>
        </w:rPr>
        <w:t>.1</w:t>
      </w:r>
      <w:r>
        <w:rPr>
          <w:rFonts w:ascii="宋体" w:hAnsi="宋体" w:cs="宋体" w:eastAsia="宋体"/>
          <w:sz w:val="20"/>
        </w:rPr>
        <w:t>2接收机模式总测量不确定度（预选器关，</w:t>
      </w:r>
      <w:r>
        <w:rPr>
          <w:rFonts w:ascii="宋体" w:hAnsi="宋体" w:cs="宋体" w:eastAsia="宋体"/>
          <w:sz w:val="20"/>
        </w:rPr>
        <w:t>f=1GHz</w:t>
      </w:r>
      <w:r>
        <w:rPr>
          <w:rFonts w:ascii="宋体" w:hAnsi="宋体" w:cs="宋体" w:eastAsia="宋体"/>
          <w:sz w:val="20"/>
        </w:rPr>
        <w:t>）：</w:t>
      </w:r>
      <w:r>
        <w:rPr>
          <w:rFonts w:ascii="宋体" w:hAnsi="宋体" w:cs="宋体" w:eastAsia="宋体"/>
          <w:sz w:val="20"/>
        </w:rPr>
        <w:t>≤±</w:t>
      </w:r>
      <w:r>
        <w:rPr>
          <w:rFonts w:ascii="宋体" w:hAnsi="宋体" w:cs="宋体" w:eastAsia="宋体"/>
          <w:sz w:val="20"/>
        </w:rPr>
        <w:t>0.</w:t>
      </w:r>
      <w:r>
        <w:rPr>
          <w:rFonts w:ascii="宋体" w:hAnsi="宋体" w:cs="宋体" w:eastAsia="宋体"/>
          <w:sz w:val="20"/>
        </w:rPr>
        <w:t>3</w:t>
      </w:r>
      <w:r>
        <w:rPr>
          <w:rFonts w:ascii="宋体" w:hAnsi="宋体" w:cs="宋体" w:eastAsia="宋体"/>
          <w:sz w:val="20"/>
        </w:rPr>
        <w:t xml:space="preserve"> dB</w:t>
      </w:r>
      <w:r>
        <w:rPr>
          <w:rFonts w:ascii="宋体" w:hAnsi="宋体" w:cs="宋体" w:eastAsia="宋体"/>
          <w:sz w:val="20"/>
        </w:rPr>
        <w:t>；【评审项</w:t>
      </w:r>
      <w:r>
        <w:rPr>
          <w:rFonts w:ascii="宋体" w:hAnsi="宋体" w:cs="宋体" w:eastAsia="宋体"/>
          <w:sz w:val="20"/>
        </w:rPr>
        <w:t>21】</w:t>
      </w:r>
    </w:p>
    <w:p>
      <w:pPr>
        <w:pStyle w:val="null3"/>
        <w:ind w:firstLine="400"/>
        <w:jc w:val="both"/>
      </w:pPr>
      <w:r>
        <w:rPr>
          <w:rFonts w:ascii="宋体" w:hAnsi="宋体" w:cs="宋体" w:eastAsia="宋体"/>
          <w:sz w:val="20"/>
        </w:rPr>
        <w:t>1.1</w:t>
      </w:r>
      <w:r>
        <w:rPr>
          <w:rFonts w:ascii="宋体" w:hAnsi="宋体" w:cs="宋体" w:eastAsia="宋体"/>
          <w:sz w:val="20"/>
        </w:rPr>
        <w:t>3三阶截止点（射频衰减</w:t>
      </w:r>
      <w:r>
        <w:rPr>
          <w:rFonts w:ascii="宋体" w:hAnsi="宋体" w:cs="宋体" w:eastAsia="宋体"/>
          <w:sz w:val="20"/>
        </w:rPr>
        <w:t>0dB，预选器关前置放大器关</w:t>
      </w:r>
      <w:r>
        <w:rPr>
          <w:rFonts w:ascii="宋体" w:hAnsi="宋体" w:cs="宋体" w:eastAsia="宋体"/>
          <w:sz w:val="20"/>
        </w:rPr>
        <w:t>，</w:t>
      </w:r>
      <w:r>
        <w:rPr>
          <w:rFonts w:ascii="宋体" w:hAnsi="宋体" w:cs="宋体" w:eastAsia="宋体"/>
          <w:sz w:val="20"/>
        </w:rPr>
        <w:t>f=1GHz</w:t>
      </w:r>
      <w:r>
        <w:rPr>
          <w:rFonts w:ascii="宋体" w:hAnsi="宋体" w:cs="宋体" w:eastAsia="宋体"/>
          <w:sz w:val="20"/>
        </w:rPr>
        <w:t>）：</w:t>
      </w:r>
      <w:r>
        <w:rPr>
          <w:rFonts w:ascii="宋体" w:hAnsi="宋体" w:cs="宋体" w:eastAsia="宋体"/>
          <w:sz w:val="20"/>
        </w:rPr>
        <w:t>≥</w:t>
      </w:r>
      <w:r>
        <w:rPr>
          <w:rFonts w:ascii="宋体" w:hAnsi="宋体" w:cs="宋体" w:eastAsia="宋体"/>
          <w:sz w:val="20"/>
        </w:rPr>
        <w:t>20 dBm</w:t>
      </w:r>
      <w:r>
        <w:rPr>
          <w:rFonts w:ascii="宋体" w:hAnsi="宋体" w:cs="宋体" w:eastAsia="宋体"/>
          <w:sz w:val="20"/>
        </w:rPr>
        <w:t>；【评</w:t>
      </w:r>
      <w:r>
        <w:rPr>
          <w:rFonts w:ascii="宋体" w:hAnsi="宋体" w:cs="宋体" w:eastAsia="宋体"/>
          <w:sz w:val="20"/>
        </w:rPr>
        <w:t>审项</w:t>
      </w:r>
      <w:r>
        <w:rPr>
          <w:rFonts w:ascii="宋体" w:hAnsi="宋体" w:cs="宋体" w:eastAsia="宋体"/>
          <w:sz w:val="20"/>
        </w:rPr>
        <w:t>22】</w:t>
      </w:r>
    </w:p>
    <w:p>
      <w:pPr>
        <w:pStyle w:val="null3"/>
        <w:ind w:firstLine="400"/>
        <w:jc w:val="both"/>
      </w:pPr>
      <w:r>
        <w:rPr>
          <w:rFonts w:ascii="宋体" w:hAnsi="宋体" w:cs="宋体" w:eastAsia="宋体"/>
          <w:sz w:val="20"/>
        </w:rPr>
        <w:t>★</w:t>
      </w:r>
      <w:r>
        <w:rPr>
          <w:rFonts w:ascii="宋体" w:hAnsi="宋体" w:cs="宋体" w:eastAsia="宋体"/>
          <w:sz w:val="20"/>
        </w:rPr>
        <w:t>1.1</w:t>
      </w:r>
      <w:r>
        <w:rPr>
          <w:rFonts w:ascii="宋体" w:hAnsi="宋体" w:cs="宋体" w:eastAsia="宋体"/>
          <w:sz w:val="20"/>
        </w:rPr>
        <w:t>4</w:t>
      </w:r>
      <w:r>
        <w:rPr>
          <w:rFonts w:ascii="&quot;times new roman&quot;" w:hAnsi="&quot;times new roman&quot;" w:cs="&quot;times new roman&quot;" w:eastAsia="&quot;times new roman&quot;"/>
          <w:sz w:val="21"/>
        </w:rPr>
        <w:t xml:space="preserve"> </w:t>
      </w:r>
      <w:r>
        <w:rPr>
          <w:rFonts w:ascii="宋体" w:hAnsi="宋体" w:cs="宋体" w:eastAsia="宋体"/>
          <w:sz w:val="20"/>
        </w:rPr>
        <w:t>硬件支持符合</w:t>
      </w:r>
      <w:r>
        <w:rPr>
          <w:rFonts w:ascii="宋体" w:hAnsi="宋体" w:cs="宋体" w:eastAsia="宋体"/>
          <w:sz w:val="20"/>
        </w:rPr>
        <w:t>CISPR 14-1的喀呖声率分析仪的功能，可内置或者外置；内置喀呖声率分析仪以CISPR标准规定的频率自动并行测量脉冲幅值和持续时间（150kHz、500kHz、1.4MHz、30MHz），至少两小时无缝记录峰值和准峰值。若采用外置喀呖声率分析仪，要完全符合CISPR 16-1-1的标准要求，准峰值检波器设计依据CISPR 14-1标准，需同时能够对四个通道的峰值和准峰值的电平进行采样，以识别和计数所有的喀呖声（short，long，fast long）、连续骚扰和开关操作，测试过程中设备采集的所有信息都会分通道实时显示，动态范围≥75dB（典型值），测量精度±0.8dB，灵敏度25dBuV（典型值，QP准峰值）</w:t>
      </w:r>
      <w:r>
        <w:rPr>
          <w:rFonts w:ascii="宋体" w:hAnsi="宋体" w:cs="宋体" w:eastAsia="宋体"/>
          <w:sz w:val="20"/>
        </w:rPr>
        <w:t>；【评审项</w:t>
      </w:r>
      <w:r>
        <w:rPr>
          <w:rFonts w:ascii="宋体" w:hAnsi="宋体" w:cs="宋体" w:eastAsia="宋体"/>
          <w:sz w:val="20"/>
        </w:rPr>
        <w:t>23】（</w:t>
      </w:r>
      <w:r>
        <w:rPr>
          <w:rFonts w:ascii="宋体" w:hAnsi="宋体" w:cs="宋体" w:eastAsia="宋体"/>
          <w:sz w:val="20"/>
          <w:b/>
        </w:rPr>
        <w:t>提供产品彩页佐证并加盖公章</w:t>
      </w:r>
      <w:r>
        <w:rPr>
          <w:rFonts w:ascii="宋体" w:hAnsi="宋体" w:cs="宋体" w:eastAsia="宋体"/>
          <w:sz w:val="20"/>
        </w:rPr>
        <w:t>）</w:t>
      </w:r>
    </w:p>
    <w:p>
      <w:pPr>
        <w:pStyle w:val="null3"/>
        <w:ind w:firstLine="400"/>
        <w:jc w:val="both"/>
      </w:pPr>
      <w:r>
        <w:rPr>
          <w:rFonts w:ascii="宋体" w:hAnsi="宋体" w:cs="宋体" w:eastAsia="宋体"/>
          <w:sz w:val="20"/>
        </w:rPr>
        <w:t>1.</w:t>
      </w:r>
      <w:r>
        <w:rPr>
          <w:rFonts w:ascii="宋体" w:hAnsi="宋体" w:cs="宋体" w:eastAsia="宋体"/>
          <w:sz w:val="20"/>
        </w:rPr>
        <w:t>15</w:t>
      </w:r>
      <w:r>
        <w:rPr>
          <w:rFonts w:ascii="宋体" w:hAnsi="宋体" w:cs="宋体" w:eastAsia="宋体"/>
          <w:sz w:val="20"/>
        </w:rPr>
        <w:t xml:space="preserve"> </w:t>
      </w:r>
      <w:r>
        <w:rPr>
          <w:rFonts w:ascii="宋体" w:hAnsi="宋体" w:cs="宋体" w:eastAsia="宋体"/>
          <w:sz w:val="20"/>
        </w:rPr>
        <w:t>需</w:t>
      </w:r>
      <w:r>
        <w:rPr>
          <w:rFonts w:ascii="宋体" w:hAnsi="宋体" w:cs="宋体" w:eastAsia="宋体"/>
          <w:sz w:val="20"/>
        </w:rPr>
        <w:t>与已有系统完成设备自动化调试，出具承诺函；【评审项</w:t>
      </w:r>
      <w:r>
        <w:rPr>
          <w:rFonts w:ascii="宋体" w:hAnsi="宋体" w:cs="宋体" w:eastAsia="宋体"/>
          <w:sz w:val="20"/>
        </w:rPr>
        <w:t>24】</w:t>
      </w:r>
    </w:p>
    <w:p>
      <w:pPr>
        <w:pStyle w:val="null3"/>
        <w:ind w:firstLine="400"/>
        <w:jc w:val="both"/>
      </w:pPr>
      <w:r>
        <w:rPr>
          <w:rFonts w:ascii="宋体" w:hAnsi="宋体" w:cs="宋体" w:eastAsia="宋体"/>
          <w:sz w:val="20"/>
        </w:rPr>
        <w:t>1.</w:t>
      </w:r>
      <w:r>
        <w:rPr>
          <w:rFonts w:ascii="宋体" w:hAnsi="宋体" w:cs="宋体" w:eastAsia="宋体"/>
          <w:sz w:val="20"/>
        </w:rPr>
        <w:t>16运行功耗≤</w:t>
      </w:r>
      <w:r>
        <w:rPr>
          <w:rFonts w:ascii="宋体" w:hAnsi="宋体" w:cs="宋体" w:eastAsia="宋体"/>
          <w:sz w:val="20"/>
        </w:rPr>
        <w:t>300W</w:t>
      </w:r>
      <w:r>
        <w:rPr>
          <w:rFonts w:ascii="宋体" w:hAnsi="宋体" w:cs="宋体" w:eastAsia="宋体"/>
          <w:sz w:val="20"/>
        </w:rPr>
        <w:t>；【评审项</w:t>
      </w:r>
      <w:r>
        <w:rPr>
          <w:rFonts w:ascii="宋体" w:hAnsi="宋体" w:cs="宋体" w:eastAsia="宋体"/>
          <w:sz w:val="20"/>
        </w:rPr>
        <w:t>25】</w:t>
      </w:r>
    </w:p>
    <w:p>
      <w:pPr>
        <w:pStyle w:val="null3"/>
        <w:ind w:firstLine="422"/>
        <w:jc w:val="both"/>
      </w:pPr>
      <w:r>
        <w:rPr>
          <w:rFonts w:ascii="宋体" w:hAnsi="宋体" w:cs="宋体" w:eastAsia="宋体"/>
          <w:sz w:val="21"/>
          <w:b/>
        </w:rPr>
        <w:t>5、</w:t>
      </w:r>
      <w:r>
        <w:rPr>
          <w:rFonts w:ascii="&quot;times new roman&quot;" w:hAnsi="&quot;times new roman&quot;" w:cs="&quot;times new roman&quot;" w:eastAsia="&quot;times new roman&quot;"/>
          <w:sz w:val="21"/>
          <w:b/>
        </w:rPr>
        <w:t xml:space="preserve"> </w:t>
      </w:r>
      <w:r>
        <w:rPr>
          <w:rFonts w:ascii="宋体" w:hAnsi="宋体" w:cs="宋体" w:eastAsia="宋体"/>
          <w:sz w:val="21"/>
          <w:b/>
        </w:rPr>
        <w:t>配套设施（</w:t>
      </w:r>
      <w:r>
        <w:rPr>
          <w:rFonts w:ascii="宋体" w:hAnsi="宋体" w:cs="宋体" w:eastAsia="宋体"/>
          <w:sz w:val="21"/>
          <w:b/>
        </w:rPr>
        <w:t>三角形直流人工电源网络</w:t>
      </w:r>
      <w:r>
        <w:rPr>
          <w:rFonts w:ascii="宋体" w:hAnsi="宋体" w:cs="宋体" w:eastAsia="宋体"/>
          <w:sz w:val="21"/>
          <w:b/>
        </w:rPr>
        <w:t>，</w:t>
      </w:r>
      <w:r>
        <w:rPr>
          <w:rFonts w:ascii="宋体" w:hAnsi="宋体" w:cs="宋体" w:eastAsia="宋体"/>
          <w:sz w:val="21"/>
          <w:b/>
        </w:rPr>
        <w:t>1套）</w:t>
      </w:r>
    </w:p>
    <w:p>
      <w:pPr>
        <w:pStyle w:val="null3"/>
        <w:ind w:firstLine="400"/>
        <w:jc w:val="both"/>
      </w:pPr>
      <w:r>
        <w:rPr>
          <w:rFonts w:ascii="宋体" w:hAnsi="宋体" w:cs="宋体" w:eastAsia="宋体"/>
          <w:sz w:val="20"/>
        </w:rPr>
        <w:t>1.1频率范围：0.15MHz-30MHz； 最大连续电流100A，最大直流电压1500V；【评审项26】</w:t>
      </w:r>
    </w:p>
    <w:p>
      <w:pPr>
        <w:pStyle w:val="null3"/>
        <w:jc w:val="both"/>
      </w:pPr>
      <w:r>
        <w:rPr>
          <w:rFonts w:ascii="宋体" w:hAnsi="宋体" w:cs="宋体" w:eastAsia="宋体"/>
          <w:sz w:val="20"/>
        </w:rPr>
        <w:t>1.2 共模阻抗和差模阻抗：（150±30）Ω；分压系数（测量口）：典型值（20±3）dB（10:1）；【评审项27】</w:t>
      </w:r>
    </w:p>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自合同签订之日起90日</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厦门市行政区域内招标人指定地点（中标人负责到货时卸货并搬运至采购人指定的实验室位置）</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经采购人验收合格后</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1、期次1，说明：1.中标人提供设备的制造标准、安装标准及技术规范等有关资料必须符合国家相应的有关标准、规范要求。 2.仪器设备经计量校准合格后，采购人根据《招标文件》、中标人的《投标文件》、合同、制造厂商的产品验收标准及中华人民共和国有关标准进行验收。中标人对验收不合格的货物负有更换、退货的义务，由此产生的责任及费用由中标人承担。 3.中标人应向采购人提供完整的设备技术资料（纸质版及电子版），如：仪器设备出厂检验报告、合格证书、技术说明书、操作手册、维修保养手册及第三方计量检定机构的计量证书等材料。 4.采购人有权委托国内有检验资质的单位对设备的精度（软硬件）、性能进行复核。</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1、合同生效后采购人支付中标人合同总金额的30%款项作为预付款，达到付款条件起15日内，支付合同总金额的30.00%</w:t>
            </w:r>
          </w:p>
          <w:p>
            <w:pPr>
              <w:pStyle w:val="null3"/>
              <w:jc w:val="both"/>
            </w:pPr>
            <w:r>
              <w:rPr/>
              <w:t>2、全部仪器设备交货并经采购人人验收合格后，中标人向采购人开具合同总金额的增值税专用发票，达到付款条件起15日内，支付合同总金额的70.00%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缴纳</w:t>
            </w:r>
            <w:r>
              <w:rPr/>
              <w:t>, 本采购包履约保证金为合同金额的3.0%</w:t>
            </w:r>
          </w:p>
          <w:p>
            <w:pPr>
              <w:pStyle w:val="null3"/>
              <w:jc w:val="both"/>
            </w:pPr>
            <w:r>
              <w:rPr/>
              <w:t>说明：由中标人在本项目合同签订生效后的 7 个工作日内提交至采购人，中标人可自行选择提交履约保证金的方式（银行汇款或保函或保单）。中标人逾期提交履约保证金的，视为放弃中标。质保期满后，若中标人无任何违约行为全额无息退回其履约保证金。中小企业减半收取履约保证金。</w:t>
            </w:r>
          </w:p>
        </w:tc>
      </w:tr>
    </w:tbl>
    <w:p>
      <w:pPr>
        <w:pStyle w:val="null3"/>
        <w:jc w:val="left"/>
      </w:pPr>
      <w:r>
        <w:rPr/>
        <w:t>其他商务要求</w:t>
      </w:r>
    </w:p>
    <w:p>
      <w:pPr>
        <w:pStyle w:val="null3"/>
        <w:ind w:firstLine="480"/>
        <w:jc w:val="left"/>
      </w:pPr>
      <w:r>
        <w:rPr>
          <w:rFonts w:ascii="宋体" w:hAnsi="宋体" w:cs="宋体" w:eastAsia="宋体"/>
        </w:rPr>
        <w:t>★8.</w:t>
      </w:r>
      <w:r>
        <w:rPr>
          <w:rFonts w:ascii="宋体" w:hAnsi="宋体" w:cs="宋体" w:eastAsia="宋体"/>
          <w:b/>
        </w:rPr>
        <w:t>安装与调试，售后服务：</w:t>
      </w:r>
    </w:p>
    <w:p>
      <w:pPr>
        <w:pStyle w:val="null3"/>
        <w:ind w:firstLine="482"/>
        <w:jc w:val="left"/>
      </w:pPr>
      <w:r>
        <w:rPr>
          <w:rFonts w:ascii="宋体" w:hAnsi="宋体" w:cs="宋体" w:eastAsia="宋体"/>
          <w:b/>
        </w:rPr>
        <w:t>8</w:t>
      </w:r>
      <w:r>
        <w:rPr>
          <w:rFonts w:ascii="宋体" w:hAnsi="宋体" w:cs="宋体" w:eastAsia="宋体"/>
          <w:b/>
        </w:rPr>
        <w:t>.1安装和调试</w:t>
      </w:r>
    </w:p>
    <w:p>
      <w:pPr>
        <w:pStyle w:val="null3"/>
        <w:ind w:firstLine="480"/>
        <w:jc w:val="left"/>
      </w:pPr>
      <w:r>
        <w:rPr>
          <w:rFonts w:ascii="宋体" w:hAnsi="宋体" w:cs="宋体" w:eastAsia="宋体"/>
        </w:rPr>
        <w:t>接到</w:t>
      </w:r>
      <w:r>
        <w:rPr>
          <w:rFonts w:ascii="宋体" w:hAnsi="宋体" w:cs="宋体" w:eastAsia="宋体"/>
        </w:rPr>
        <w:t>采购</w:t>
      </w:r>
      <w:r>
        <w:rPr>
          <w:rFonts w:ascii="宋体" w:hAnsi="宋体" w:cs="宋体" w:eastAsia="宋体"/>
        </w:rPr>
        <w:t>人通知的一周内安排至少</w:t>
      </w:r>
      <w:r>
        <w:rPr>
          <w:rFonts w:ascii="宋体" w:hAnsi="宋体" w:cs="宋体" w:eastAsia="宋体"/>
        </w:rPr>
        <w:t>2 个技术人员到现场安装，并负责调试至合格。应在合同规定的安装调试期内完成该项工作。如因中标人责任而造成延期，所有因延期而产生的费用由中标人承担。</w:t>
      </w:r>
    </w:p>
    <w:p>
      <w:pPr>
        <w:pStyle w:val="null3"/>
        <w:ind w:firstLine="482"/>
        <w:jc w:val="left"/>
      </w:pPr>
      <w:r>
        <w:rPr>
          <w:rFonts w:ascii="宋体" w:hAnsi="宋体" w:cs="宋体" w:eastAsia="宋体"/>
          <w:b/>
        </w:rPr>
        <w:t>8</w:t>
      </w:r>
      <w:r>
        <w:rPr>
          <w:rFonts w:ascii="宋体" w:hAnsi="宋体" w:cs="宋体" w:eastAsia="宋体"/>
          <w:b/>
        </w:rPr>
        <w:t>.2技术培训</w:t>
      </w:r>
    </w:p>
    <w:p>
      <w:pPr>
        <w:pStyle w:val="null3"/>
        <w:ind w:firstLine="480"/>
        <w:jc w:val="left"/>
      </w:pPr>
      <w:r>
        <w:rPr>
          <w:rFonts w:ascii="宋体" w:hAnsi="宋体" w:cs="宋体" w:eastAsia="宋体"/>
        </w:rPr>
        <w:t>安装验收完毕后一个月内，中标人派技术工程师对</w:t>
      </w:r>
      <w:r>
        <w:rPr>
          <w:rFonts w:ascii="宋体" w:hAnsi="宋体" w:cs="宋体" w:eastAsia="宋体"/>
        </w:rPr>
        <w:t>采购</w:t>
      </w:r>
      <w:r>
        <w:rPr>
          <w:rFonts w:ascii="宋体" w:hAnsi="宋体" w:cs="宋体" w:eastAsia="宋体"/>
        </w:rPr>
        <w:t>人至少</w:t>
      </w:r>
      <w:r>
        <w:rPr>
          <w:rFonts w:ascii="宋体" w:hAnsi="宋体" w:cs="宋体" w:eastAsia="宋体"/>
        </w:rPr>
        <w:t>2 人进行技术培训，内容包括：基本理论、原理、仪器设备的操作、配套软件的使用、仪器设备的维护、安全要点以及其他相关内容，确保</w:t>
      </w:r>
      <w:r>
        <w:rPr>
          <w:rFonts w:ascii="宋体" w:hAnsi="宋体" w:cs="宋体" w:eastAsia="宋体"/>
        </w:rPr>
        <w:t>采购</w:t>
      </w:r>
      <w:r>
        <w:rPr>
          <w:rFonts w:ascii="宋体" w:hAnsi="宋体" w:cs="宋体" w:eastAsia="宋体"/>
        </w:rPr>
        <w:t>人操作人员达到下列要求：确保操作人员能熟练使用仪器设备，并能独立排除一般故障；了解仪器设备的结构及工作原理。中标人提供详细的培训课程讲义及培训进度计划表。</w:t>
      </w:r>
    </w:p>
    <w:p>
      <w:pPr>
        <w:pStyle w:val="null3"/>
        <w:ind w:firstLine="482"/>
        <w:jc w:val="left"/>
      </w:pPr>
      <w:r>
        <w:rPr>
          <w:rFonts w:ascii="宋体" w:hAnsi="宋体" w:cs="宋体" w:eastAsia="宋体"/>
          <w:b/>
        </w:rPr>
        <w:t>8</w:t>
      </w:r>
      <w:r>
        <w:rPr>
          <w:rFonts w:ascii="宋体" w:hAnsi="宋体" w:cs="宋体" w:eastAsia="宋体"/>
          <w:b/>
        </w:rPr>
        <w:t>.</w:t>
      </w:r>
      <w:r>
        <w:rPr>
          <w:rFonts w:ascii="宋体" w:hAnsi="宋体" w:cs="宋体" w:eastAsia="宋体"/>
          <w:b/>
        </w:rPr>
        <w:t>3</w:t>
      </w:r>
      <w:r>
        <w:rPr>
          <w:rFonts w:ascii="宋体" w:hAnsi="宋体" w:cs="宋体" w:eastAsia="宋体"/>
          <w:b/>
        </w:rPr>
        <w:t>维保服务</w:t>
      </w:r>
    </w:p>
    <w:p>
      <w:pPr>
        <w:pStyle w:val="null3"/>
        <w:ind w:firstLine="480"/>
        <w:jc w:val="left"/>
      </w:pPr>
      <w:r>
        <w:rPr>
          <w:rFonts w:ascii="宋体" w:hAnsi="宋体" w:cs="宋体" w:eastAsia="宋体"/>
        </w:rPr>
        <w:t>8</w:t>
      </w:r>
      <w:r>
        <w:rPr>
          <w:rFonts w:ascii="宋体" w:hAnsi="宋体" w:cs="宋体" w:eastAsia="宋体"/>
        </w:rPr>
        <w:t>.3.1本项目质保</w:t>
      </w:r>
      <w:r>
        <w:rPr>
          <w:rFonts w:ascii="宋体" w:hAnsi="宋体" w:cs="宋体" w:eastAsia="宋体"/>
          <w:sz w:val="21"/>
        </w:rPr>
        <w:t>期不低于</w:t>
      </w:r>
      <w:r>
        <w:rPr>
          <w:rFonts w:ascii="宋体" w:hAnsi="宋体" w:cs="宋体" w:eastAsia="宋体"/>
          <w:sz w:val="21"/>
        </w:rPr>
        <w:t>3</w:t>
      </w:r>
      <w:r>
        <w:rPr>
          <w:rFonts w:ascii="宋体" w:hAnsi="宋体" w:cs="宋体" w:eastAsia="宋体"/>
          <w:sz w:val="21"/>
        </w:rPr>
        <w:t>年</w:t>
      </w:r>
      <w:r>
        <w:rPr>
          <w:rFonts w:ascii="宋体" w:hAnsi="宋体" w:cs="宋体" w:eastAsia="宋体"/>
        </w:rPr>
        <w:t>。保修期自双方代表在设备安装调试后的移交证明文件上签字之日起计算。质保期内中标人提供一切免费维修服务和免费更换损坏的零部件。</w:t>
      </w:r>
    </w:p>
    <w:p>
      <w:pPr>
        <w:pStyle w:val="null3"/>
        <w:ind w:firstLine="480"/>
        <w:jc w:val="left"/>
      </w:pPr>
      <w:r>
        <w:rPr>
          <w:rFonts w:ascii="宋体" w:hAnsi="宋体" w:cs="宋体" w:eastAsia="宋体"/>
        </w:rPr>
        <w:t>8</w:t>
      </w:r>
      <w:r>
        <w:rPr>
          <w:rFonts w:ascii="宋体" w:hAnsi="宋体" w:cs="宋体" w:eastAsia="宋体"/>
        </w:rPr>
        <w:t>.3.2在保修期内接到故障电话后即时响应，1小时内电话响应，12小时内到达，24小时内修复，对于在24小时内无法解决的故障问题应提供备用方案或备件。经专业维修工程师诊断、分析，确定设备故障所在，需要更换配件的，需提供详实的维修方案，并注明更换配件的品牌、型号等关键信息，征得招标人同意方可进行更换、维修。</w:t>
      </w:r>
    </w:p>
    <w:p>
      <w:pPr>
        <w:pStyle w:val="null3"/>
        <w:ind w:firstLine="480"/>
        <w:jc w:val="left"/>
      </w:pPr>
      <w:r>
        <w:rPr>
          <w:rFonts w:ascii="宋体" w:hAnsi="宋体" w:cs="宋体" w:eastAsia="宋体"/>
        </w:rPr>
        <w:t>8</w:t>
      </w:r>
      <w:r>
        <w:rPr>
          <w:rFonts w:ascii="宋体" w:hAnsi="宋体" w:cs="宋体" w:eastAsia="宋体"/>
        </w:rPr>
        <w:t>.3.3质保期过后，中标人负责对所提供设备终身维修及提供技术咨询，备有所提供设备的备件及消耗品，中标人不收取交通费、住宿费、人工费，只收取更换零部件的成本费用。</w:t>
      </w:r>
    </w:p>
    <w:p>
      <w:pPr>
        <w:pStyle w:val="null3"/>
        <w:ind w:firstLine="482"/>
        <w:jc w:val="left"/>
      </w:pPr>
      <w:r>
        <w:rPr>
          <w:rFonts w:ascii="宋体" w:hAnsi="宋体" w:cs="宋体" w:eastAsia="宋体"/>
          <w:b/>
        </w:rPr>
        <w:t>★9.</w:t>
      </w:r>
      <w:r>
        <w:rPr>
          <w:rFonts w:ascii="宋体" w:hAnsi="宋体" w:cs="宋体" w:eastAsia="宋体"/>
          <w:b/>
        </w:rPr>
        <w:t>违约责任：</w:t>
      </w:r>
    </w:p>
    <w:p>
      <w:pPr>
        <w:pStyle w:val="null3"/>
        <w:ind w:firstLine="482"/>
        <w:jc w:val="left"/>
      </w:pPr>
      <w:r>
        <w:rPr>
          <w:rFonts w:ascii="宋体" w:hAnsi="宋体" w:cs="宋体" w:eastAsia="宋体"/>
          <w:b/>
        </w:rPr>
        <w:t>9</w:t>
      </w:r>
      <w:r>
        <w:rPr>
          <w:rFonts w:ascii="宋体" w:hAnsi="宋体" w:cs="宋体" w:eastAsia="宋体"/>
          <w:b/>
        </w:rPr>
        <w:t>.1未按期交货的违约责任</w:t>
      </w:r>
    </w:p>
    <w:p>
      <w:pPr>
        <w:pStyle w:val="null3"/>
        <w:ind w:firstLine="480"/>
        <w:jc w:val="left"/>
      </w:pPr>
      <w:r>
        <w:rPr>
          <w:rFonts w:ascii="宋体" w:hAnsi="宋体" w:cs="宋体" w:eastAsia="宋体"/>
        </w:rPr>
        <w:t>9</w:t>
      </w:r>
      <w:r>
        <w:rPr>
          <w:rFonts w:ascii="宋体" w:hAnsi="宋体" w:cs="宋体" w:eastAsia="宋体"/>
        </w:rPr>
        <w:t>.1.1若中标人未按照合同约定时间或</w:t>
      </w:r>
      <w:r>
        <w:rPr>
          <w:rFonts w:ascii="宋体" w:hAnsi="宋体" w:cs="宋体" w:eastAsia="宋体"/>
        </w:rPr>
        <w:t>采购</w:t>
      </w:r>
      <w:r>
        <w:rPr>
          <w:rFonts w:ascii="宋体" w:hAnsi="宋体" w:cs="宋体" w:eastAsia="宋体"/>
        </w:rPr>
        <w:t>人予以宽限的时间内（事先取得招标人同意）交付标的货物，</w:t>
      </w:r>
      <w:r>
        <w:rPr>
          <w:rFonts w:ascii="宋体" w:hAnsi="宋体" w:cs="宋体" w:eastAsia="宋体"/>
        </w:rPr>
        <w:t>采购</w:t>
      </w:r>
      <w:r>
        <w:rPr>
          <w:rFonts w:ascii="宋体" w:hAnsi="宋体" w:cs="宋体" w:eastAsia="宋体"/>
        </w:rPr>
        <w:t>人有权要求中标人赔偿。赔偿金额按延迟交付标的金额的</w:t>
      </w:r>
      <w:r>
        <w:rPr>
          <w:rFonts w:ascii="宋体" w:hAnsi="宋体" w:cs="宋体" w:eastAsia="宋体"/>
        </w:rPr>
        <w:t>0.1%/日计算，违约金总额不超过标的金额的5% 。</w:t>
      </w:r>
    </w:p>
    <w:p>
      <w:pPr>
        <w:pStyle w:val="null3"/>
        <w:ind w:firstLine="480"/>
        <w:jc w:val="left"/>
      </w:pPr>
      <w:r>
        <w:rPr>
          <w:rFonts w:ascii="宋体" w:hAnsi="宋体" w:cs="宋体" w:eastAsia="宋体"/>
        </w:rPr>
        <w:t>9</w:t>
      </w:r>
      <w:r>
        <w:rPr>
          <w:rFonts w:ascii="宋体" w:hAnsi="宋体" w:cs="宋体" w:eastAsia="宋体"/>
        </w:rPr>
        <w:t>.1.2中标人交付货物的品质、性能、技术标准、质量要求不符合合同约定的，</w:t>
      </w:r>
      <w:r>
        <w:rPr>
          <w:rFonts w:ascii="宋体" w:hAnsi="宋体" w:cs="宋体" w:eastAsia="宋体"/>
        </w:rPr>
        <w:t>采购</w:t>
      </w:r>
      <w:r>
        <w:rPr>
          <w:rFonts w:ascii="宋体" w:hAnsi="宋体" w:cs="宋体" w:eastAsia="宋体"/>
        </w:rPr>
        <w:t>人有权向中标人提出更换或退货，且由中标人承担一切更换货物或退货引起的相关费用。</w:t>
      </w:r>
    </w:p>
    <w:p>
      <w:pPr>
        <w:pStyle w:val="null3"/>
        <w:ind w:firstLine="482"/>
        <w:jc w:val="left"/>
      </w:pPr>
      <w:r>
        <w:rPr>
          <w:rFonts w:ascii="宋体" w:hAnsi="宋体" w:cs="宋体" w:eastAsia="宋体"/>
          <w:b/>
        </w:rPr>
        <w:t>9</w:t>
      </w:r>
      <w:r>
        <w:rPr>
          <w:rFonts w:ascii="宋体" w:hAnsi="宋体" w:cs="宋体" w:eastAsia="宋体"/>
          <w:b/>
        </w:rPr>
        <w:t>.2违约终止合同</w:t>
      </w:r>
    </w:p>
    <w:p>
      <w:pPr>
        <w:pStyle w:val="null3"/>
        <w:ind w:firstLine="480"/>
        <w:jc w:val="left"/>
      </w:pPr>
      <w:r>
        <w:rPr>
          <w:rFonts w:ascii="宋体" w:hAnsi="宋体" w:cs="宋体" w:eastAsia="宋体"/>
        </w:rPr>
        <w:t>9</w:t>
      </w:r>
      <w:r>
        <w:rPr>
          <w:rFonts w:ascii="宋体" w:hAnsi="宋体" w:cs="宋体" w:eastAsia="宋体"/>
        </w:rPr>
        <w:t>.2.1在补救违约而采取的任何其他措施未能实现的情况下，即在</w:t>
      </w:r>
      <w:r>
        <w:rPr>
          <w:rFonts w:ascii="宋体" w:hAnsi="宋体" w:cs="宋体" w:eastAsia="宋体"/>
        </w:rPr>
        <w:t>采购</w:t>
      </w:r>
      <w:r>
        <w:rPr>
          <w:rFonts w:ascii="宋体" w:hAnsi="宋体" w:cs="宋体" w:eastAsia="宋体"/>
        </w:rPr>
        <w:t>人发出的违约通知后</w:t>
      </w:r>
      <w:r>
        <w:rPr>
          <w:rFonts w:ascii="宋体" w:hAnsi="宋体" w:cs="宋体" w:eastAsia="宋体"/>
        </w:rPr>
        <w:t>30天内（或经</w:t>
      </w:r>
      <w:r>
        <w:rPr>
          <w:rFonts w:ascii="宋体" w:hAnsi="宋体" w:cs="宋体" w:eastAsia="宋体"/>
        </w:rPr>
        <w:t>采购</w:t>
      </w:r>
      <w:r>
        <w:rPr>
          <w:rFonts w:ascii="宋体" w:hAnsi="宋体" w:cs="宋体" w:eastAsia="宋体"/>
        </w:rPr>
        <w:t>人书面确认的更长时间内）仍未纠正其下述任何一种违约行为，</w:t>
      </w:r>
      <w:r>
        <w:rPr>
          <w:rFonts w:ascii="宋体" w:hAnsi="宋体" w:cs="宋体" w:eastAsia="宋体"/>
        </w:rPr>
        <w:t>采购</w:t>
      </w:r>
      <w:r>
        <w:rPr>
          <w:rFonts w:ascii="宋体" w:hAnsi="宋体" w:cs="宋体" w:eastAsia="宋体"/>
        </w:rPr>
        <w:t>人有权向中标人发出书面违约通知，</w:t>
      </w:r>
      <w:r>
        <w:rPr>
          <w:rFonts w:ascii="宋体" w:hAnsi="宋体" w:cs="宋体" w:eastAsia="宋体"/>
        </w:rPr>
        <w:t>采购</w:t>
      </w:r>
      <w:r>
        <w:rPr>
          <w:rFonts w:ascii="宋体" w:hAnsi="宋体" w:cs="宋体" w:eastAsia="宋体"/>
        </w:rPr>
        <w:t>人终止本合同：</w:t>
      </w:r>
    </w:p>
    <w:p>
      <w:pPr>
        <w:pStyle w:val="null3"/>
        <w:ind w:firstLine="480"/>
        <w:jc w:val="left"/>
      </w:pPr>
      <w:r>
        <w:rPr>
          <w:rFonts w:ascii="宋体" w:hAnsi="宋体" w:cs="宋体" w:eastAsia="宋体"/>
        </w:rPr>
        <w:t>9</w:t>
      </w:r>
      <w:r>
        <w:rPr>
          <w:rFonts w:ascii="宋体" w:hAnsi="宋体" w:cs="宋体" w:eastAsia="宋体"/>
        </w:rPr>
        <w:t>.2.2如果中标人未能在合同规定的期限内或双方另行确定的延期交货时间内交付合同约定的货物。</w:t>
      </w:r>
    </w:p>
    <w:p>
      <w:pPr>
        <w:pStyle w:val="null3"/>
        <w:ind w:firstLine="480"/>
        <w:jc w:val="left"/>
      </w:pPr>
      <w:r>
        <w:rPr>
          <w:rFonts w:ascii="宋体" w:hAnsi="宋体" w:cs="宋体" w:eastAsia="宋体"/>
        </w:rPr>
        <w:t>9</w:t>
      </w:r>
      <w:r>
        <w:rPr>
          <w:rFonts w:ascii="宋体" w:hAnsi="宋体" w:cs="宋体" w:eastAsia="宋体"/>
        </w:rPr>
        <w:t>.2.3中标人未能履行合同项下的任何其它义务。</w:t>
      </w:r>
    </w:p>
    <w:p>
      <w:pPr>
        <w:pStyle w:val="null3"/>
        <w:ind w:firstLine="480"/>
        <w:jc w:val="left"/>
      </w:pPr>
      <w:r>
        <w:rPr>
          <w:rFonts w:ascii="宋体" w:hAnsi="宋体" w:cs="宋体" w:eastAsia="宋体"/>
        </w:rPr>
        <w:t>9</w:t>
      </w:r>
      <w:r>
        <w:rPr>
          <w:rFonts w:ascii="宋体" w:hAnsi="宋体" w:cs="宋体" w:eastAsia="宋体"/>
        </w:rPr>
        <w:t>.3</w:t>
      </w:r>
      <w:r>
        <w:rPr>
          <w:rFonts w:ascii="宋体" w:hAnsi="宋体" w:cs="宋体" w:eastAsia="宋体"/>
        </w:rPr>
        <w:t>采购</w:t>
      </w:r>
      <w:r>
        <w:rPr>
          <w:rFonts w:ascii="宋体" w:hAnsi="宋体" w:cs="宋体" w:eastAsia="宋体"/>
        </w:rPr>
        <w:t>人未能如期付款，应事先取得中标人同意。</w:t>
      </w:r>
    </w:p>
    <w:p>
      <w:pPr>
        <w:pStyle w:val="null3"/>
        <w:ind w:firstLine="482"/>
        <w:jc w:val="left"/>
      </w:pPr>
      <w:r>
        <w:rPr>
          <w:rFonts w:ascii="宋体" w:hAnsi="宋体" w:cs="宋体" w:eastAsia="宋体"/>
          <w:b/>
        </w:rPr>
        <w:t>★10.</w:t>
      </w:r>
      <w:r>
        <w:rPr>
          <w:rFonts w:ascii="宋体" w:hAnsi="宋体" w:cs="宋体" w:eastAsia="宋体"/>
          <w:b/>
        </w:rPr>
        <w:t>知识产权：</w:t>
      </w:r>
    </w:p>
    <w:p>
      <w:pPr>
        <w:pStyle w:val="null3"/>
        <w:ind w:firstLine="480"/>
        <w:jc w:val="left"/>
      </w:pPr>
      <w:r>
        <w:rPr>
          <w:rFonts w:ascii="宋体" w:hAnsi="宋体" w:cs="宋体" w:eastAsia="宋体"/>
        </w:rPr>
        <w:t>中标人提供的采购标的应符合国家知识产权法律、法规的规定且非假冒伪劣品；中标人还应保证招标人不受到第三方关于侵犯知识产权及专利权、商标权或工业设计权等知识产权方面的指控，任何第三方如果提出此方面指控均与招标人无关，中标人应与第三方交涉，并承担可能发生的一切法律责任、费用和后果；若招标人因此而遭致损失，则中标人应赔偿该损失。</w:t>
      </w:r>
    </w:p>
    <w:p>
      <w:pPr>
        <w:pStyle w:val="null3"/>
        <w:ind w:firstLine="480"/>
        <w:jc w:val="left"/>
      </w:pPr>
      <w:r>
        <w:rPr>
          <w:rFonts w:ascii="宋体" w:hAnsi="宋体" w:cs="宋体" w:eastAsia="宋体"/>
        </w:rPr>
        <w:t>若中标人提供的采购标的不符合国家知识产权法律、法规的规定或被有关主管机关认定为假冒伪劣品，则中标人中标资格将被取消；</w:t>
      </w:r>
      <w:r>
        <w:rPr>
          <w:rFonts w:ascii="宋体" w:hAnsi="宋体" w:cs="宋体" w:eastAsia="宋体"/>
        </w:rPr>
        <w:t>采购</w:t>
      </w:r>
      <w:r>
        <w:rPr>
          <w:rFonts w:ascii="宋体" w:hAnsi="宋体" w:cs="宋体" w:eastAsia="宋体"/>
        </w:rPr>
        <w:t>人还将按照有关法律、法规和规章的规定进行处理，具体如下：按有关法律、法规和规章的规定追究其违约责任。</w:t>
      </w:r>
    </w:p>
    <w:p>
      <w:pPr>
        <w:pStyle w:val="null3"/>
        <w:ind w:firstLine="482"/>
        <w:jc w:val="left"/>
      </w:pPr>
      <w:r>
        <w:rPr>
          <w:rFonts w:ascii="宋体" w:hAnsi="宋体" w:cs="宋体" w:eastAsia="宋体"/>
          <w:b/>
        </w:rPr>
        <w:t>★11.</w:t>
      </w:r>
      <w:r>
        <w:rPr>
          <w:rFonts w:ascii="宋体" w:hAnsi="宋体" w:cs="宋体" w:eastAsia="宋体"/>
          <w:b/>
        </w:rPr>
        <w:t>不可抗力：</w:t>
      </w:r>
    </w:p>
    <w:p>
      <w:pPr>
        <w:pStyle w:val="null3"/>
        <w:ind w:firstLine="480"/>
        <w:jc w:val="left"/>
      </w:pPr>
      <w:r>
        <w:rPr>
          <w:rFonts w:ascii="宋体" w:hAnsi="宋体" w:cs="宋体" w:eastAsia="宋体"/>
        </w:rPr>
        <w:t>因不可抗力造成违约的，遭受不可抗力一方应及时向对方通报不能履行或不能完全履行的理由，并在随后取得有关主管机关证明后的</w:t>
      </w:r>
      <w:r>
        <w:rPr>
          <w:rFonts w:ascii="宋体" w:hAnsi="宋体" w:cs="宋体" w:eastAsia="宋体"/>
        </w:rPr>
        <w:t>15 日内向另一方提供不可抗力发生及持续期间的充分证据。基于以上行为，允许遭受不可抗力一方延期履行、部分履行或不履行合同，并根据情况可部分或全部免于承担违约责任。</w:t>
      </w:r>
    </w:p>
    <w:p>
      <w:pPr>
        <w:pStyle w:val="null3"/>
        <w:ind w:firstLine="480"/>
        <w:jc w:val="both"/>
      </w:pPr>
      <w:r>
        <w:rPr>
          <w:rFonts w:ascii="宋体" w:hAnsi="宋体" w:cs="宋体" w:eastAsia="宋体"/>
        </w:rPr>
        <w:t>本合同中的不可抗力指不能预见、不能避免、不能克服的客观情况，包括但不限于：自然灾害如地震、台风、洪水、火灾及政府行为、法律规定或其适用的变化或其他任何无法预见、避免或控制的事件。</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符合财库〔2020〕46号、财库〔2014〕68号及财库〔2017〕141号规定的监狱企业、残疾人福利性单位（以下简称：“残疾人福利性单位”），可享受本项目的扶持政策（如：预留采购份额、价格评审优惠、优先采购）。</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四、招标文件规定的加分证明材料（若有）</w:t>
      </w:r>
    </w:p>
    <w:p>
      <w:pPr>
        <w:pStyle w:val="null3"/>
      </w:pPr>
      <w:r>
        <w:rPr/>
        <w:t xml:space="preserve"> </w:t>
        <w:br/>
        <w:br w:type="page"/>
      </w:r>
    </w:p>
    <w:p>
      <w:pPr>
        <w:pStyle w:val="null3"/>
        <w:jc w:val="center"/>
        <w:outlineLvl w:val="2"/>
      </w:pPr>
      <w:r>
        <w:rPr>
          <w:sz w:val="28"/>
          <w:b/>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w:t>
            </w:r>
          </w:p>
        </w:tc>
        <w:tc>
          <w:tcPr>
            <w:tcW w:type="dxa" w:w="923"/>
          </w:tcPr>
          <w:p>
            <w:pPr>
              <w:pStyle w:val="null3"/>
              <w:jc w:val="left"/>
            </w:pPr>
            <w:r>
              <w:rPr/>
              <w:t>数量</w:t>
            </w:r>
          </w:p>
        </w:tc>
        <w:tc>
          <w:tcPr>
            <w:tcW w:type="dxa" w:w="923"/>
          </w:tcPr>
          <w:p>
            <w:pPr>
              <w:pStyle w:val="null3"/>
              <w:jc w:val="left"/>
            </w:pPr>
            <w:r>
              <w:rPr/>
              <w:t>总价</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1.4同一采购包中，“单价”×“数量”=“总价”，全部品目号“总价”的合计金额应与《开标一览表》中相应采购包列示的“投标总价”保持一致。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本采购包内属于节能、环境标志产品的报价情况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w:t>
            </w:r>
          </w:p>
        </w:tc>
        <w:tc>
          <w:tcPr>
            <w:tcW w:type="dxa" w:w="1187"/>
          </w:tcPr>
          <w:p>
            <w:pPr>
              <w:pStyle w:val="null3"/>
              <w:jc w:val="left"/>
            </w:pPr>
            <w:r>
              <w:rPr/>
              <w:t>数量</w:t>
            </w:r>
          </w:p>
        </w:tc>
        <w:tc>
          <w:tcPr>
            <w:tcW w:type="dxa" w:w="1187"/>
          </w:tcPr>
          <w:p>
            <w:pPr>
              <w:pStyle w:val="null3"/>
              <w:jc w:val="left"/>
            </w:pPr>
            <w:r>
              <w:rPr/>
              <w:t>总价</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报价</w:t>
            </w:r>
          </w:p>
        </w:tc>
        <w:tc>
          <w:tcPr>
            <w:tcW w:type="dxa" w:w="7122"/>
            <w:gridSpan w:val="6"/>
          </w:tcPr>
          <w:p>
            <w:pPr>
              <w:pStyle w:val="null3"/>
              <w:jc w:val="left"/>
            </w:pPr>
            <w:r>
              <w:rPr/>
              <w:t>采购包内属于节能、环境标志产品的报价总金额：</w:t>
            </w:r>
            <w:r>
              <w:rPr>
                <w:u w:val="single"/>
              </w:rPr>
              <w:t>　　　　　。</w:t>
            </w:r>
          </w:p>
        </w:tc>
      </w:tr>
    </w:tbl>
    <w:p>
      <w:pPr>
        <w:pStyle w:val="null3"/>
        <w:ind w:firstLine="480"/>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w:t>
      </w:r>
    </w:p>
    <w:p>
      <w:pPr>
        <w:pStyle w:val="null3"/>
        <w:ind w:firstLine="480"/>
        <w:jc w:val="left"/>
      </w:pPr>
      <w:r>
        <w:rPr/>
        <w:t>3.4若无节能、环境标志产品，不填写本表。</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