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b/>
          <w:sz w:val="48"/>
        </w:rPr>
        <w:t>福建省政府采购</w:t>
      </w:r>
    </w:p>
    <w:p>
      <w:pPr>
        <w:pStyle w:val="null3"/>
        <w:jc w:val="center"/>
        <w:outlineLvl w:val="0"/>
      </w:pPr>
      <w:r>
        <w:rPr>
          <w:b/>
          <w:sz w:val="48"/>
        </w:rPr>
        <w:t>货物和服务项目</w:t>
      </w:r>
    </w:p>
    <w:p>
      <w:pPr>
        <w:pStyle w:val="null3"/>
        <w:jc w:val="center"/>
        <w:outlineLvl w:val="0"/>
      </w:pPr>
      <w:r>
        <w:rPr>
          <w:b/>
          <w:sz w:val="48"/>
        </w:rPr>
        <w:t>公开招标文件</w:t>
      </w:r>
    </w:p>
    <w:p>
      <w:pPr>
        <w:pStyle w:val="null3"/>
        <w:jc w:val="center"/>
        <w:outlineLvl w:val="2"/>
      </w:pPr>
      <w:r>
        <w:rPr>
          <w:b/>
          <w:sz w:val="28"/>
        </w:rPr>
        <w:t>项目名称：</w:t>
      </w:r>
      <w:r>
        <w:rPr>
          <w:b/>
          <w:sz w:val="28"/>
        </w:rPr>
        <w:t>新能源车滑板底盘测试系统</w:t>
      </w:r>
    </w:p>
    <w:p>
      <w:pPr>
        <w:pStyle w:val="null3"/>
        <w:jc w:val="center"/>
        <w:outlineLvl w:val="2"/>
      </w:pPr>
      <w:r>
        <w:rPr>
          <w:b/>
          <w:sz w:val="28"/>
        </w:rPr>
        <w:t>备案编号：</w:t>
      </w:r>
      <w:r>
        <w:rPr>
          <w:b/>
          <w:sz w:val="28"/>
        </w:rPr>
        <w:t>CGXM-2024-350201-00019[2024]00395</w:t>
      </w:r>
    </w:p>
    <w:p>
      <w:pPr>
        <w:pStyle w:val="null3"/>
        <w:jc w:val="center"/>
        <w:outlineLvl w:val="2"/>
      </w:pPr>
      <w:r>
        <w:rPr>
          <w:b/>
          <w:sz w:val="28"/>
        </w:rPr>
        <w:t>项目编号：</w:t>
      </w:r>
      <w:r>
        <w:rPr>
          <w:b/>
          <w:sz w:val="28"/>
        </w:rPr>
        <w:t>[350201]HRC[GK]2024004</w:t>
      </w:r>
    </w:p>
    <w:p>
      <w:pPr>
        <w:pStyle w:val="null3"/>
        <w:jc w:val="center"/>
        <w:outlineLvl w:val="2"/>
      </w:pPr>
      <w:r>
        <w:rPr>
          <w:b/>
          <w:sz w:val="28"/>
        </w:rPr>
        <w:t>采购人：</w:t>
      </w:r>
      <w:r>
        <w:rPr>
          <w:b/>
          <w:sz w:val="28"/>
        </w:rPr>
        <w:t>厦门市产品质量监督检验院</w:t>
      </w:r>
    </w:p>
    <w:p>
      <w:pPr>
        <w:pStyle w:val="null3"/>
        <w:jc w:val="center"/>
        <w:outlineLvl w:val="2"/>
      </w:pPr>
      <w:r>
        <w:rPr>
          <w:b/>
          <w:sz w:val="28"/>
        </w:rPr>
        <w:t>代理机构：</w:t>
      </w:r>
      <w:r>
        <w:rPr>
          <w:b/>
          <w:sz w:val="28"/>
        </w:rPr>
        <w:t>华睿诚项目管理有限公司</w:t>
      </w:r>
    </w:p>
    <w:p>
      <w:pPr>
        <w:pStyle w:val="null3"/>
        <w:jc w:val="center"/>
        <w:outlineLvl w:val="2"/>
      </w:pPr>
      <w:r>
        <w:rPr>
          <w:b/>
          <w:sz w:val="28"/>
        </w:rPr>
        <w:t>编制时间</w:t>
      </w:r>
      <w:r>
        <w:rPr>
          <w:b/>
          <w:sz w:val="28"/>
        </w:rPr>
        <w:t>：</w:t>
      </w:r>
      <w:r>
        <w:rPr>
          <w:b/>
          <w:sz w:val="28"/>
        </w:rPr>
        <w:t>2024年06月</w:t>
      </w:r>
    </w:p>
    <w:p>
      <w:pPr>
        <w:pStyle w:val="null3"/>
      </w:pPr>
      <w:r>
        <w:rPr/>
        <w:t xml:space="preserve"> </w:t>
        <w:br/>
        <w:br w:type="page"/>
      </w:r>
    </w:p>
    <w:p>
      <w:pPr>
        <w:pStyle w:val="null3"/>
        <w:jc w:val="center"/>
        <w:outlineLvl w:val="1"/>
      </w:pPr>
      <w:r>
        <w:rPr>
          <w:b/>
          <w:sz w:val="36"/>
        </w:rPr>
        <w:t>第一章 投标邀请</w:t>
      </w:r>
    </w:p>
    <w:p>
      <w:pPr>
        <w:pStyle w:val="null3"/>
        <w:ind w:firstLine="480"/>
        <w:jc w:val="both"/>
      </w:pPr>
      <w:r>
        <w:rPr/>
        <w:t>华睿诚项目管理有限公司</w:t>
      </w:r>
      <w:r>
        <w:rPr/>
        <w:t xml:space="preserve"> 采用公开招标方式组织 </w:t>
      </w:r>
      <w:r>
        <w:rPr/>
        <w:t>新能源车滑板底盘测试系统</w:t>
      </w:r>
      <w:r>
        <w:rPr/>
        <w:t xml:space="preserve"> （以下简称：“本项目”）的政府采购活动，现邀请供应商参加投标。</w:t>
      </w:r>
    </w:p>
    <w:p>
      <w:pPr>
        <w:pStyle w:val="null3"/>
        <w:ind w:firstLine="480"/>
        <w:jc w:val="left"/>
        <w:outlineLvl w:val="2"/>
      </w:pPr>
      <w:r>
        <w:rPr>
          <w:b/>
          <w:sz w:val="28"/>
        </w:rPr>
        <w:t>1、备案编号</w:t>
      </w:r>
      <w:r>
        <w:rPr>
          <w:b/>
          <w:sz w:val="28"/>
        </w:rPr>
        <w:t>：</w:t>
      </w:r>
      <w:r>
        <w:rPr>
          <w:b/>
          <w:sz w:val="28"/>
        </w:rPr>
        <w:t>CGXM-2024-350201-00019[2024]00395</w:t>
      </w:r>
    </w:p>
    <w:p>
      <w:pPr>
        <w:pStyle w:val="null3"/>
        <w:ind w:firstLine="480"/>
        <w:jc w:val="left"/>
        <w:outlineLvl w:val="2"/>
      </w:pPr>
      <w:r>
        <w:rPr>
          <w:b/>
          <w:sz w:val="28"/>
        </w:rPr>
        <w:t>2、项目编号</w:t>
      </w:r>
      <w:r>
        <w:rPr>
          <w:b/>
          <w:sz w:val="28"/>
        </w:rPr>
        <w:t>：</w:t>
      </w:r>
      <w:r>
        <w:rPr>
          <w:b/>
          <w:sz w:val="28"/>
        </w:rPr>
        <w:t>[350201]HRC[GK]2024004</w:t>
      </w:r>
    </w:p>
    <w:p>
      <w:pPr>
        <w:pStyle w:val="null3"/>
        <w:ind w:firstLine="480"/>
        <w:jc w:val="both"/>
        <w:outlineLvl w:val="2"/>
      </w:pPr>
      <w:r>
        <w:rPr>
          <w:b/>
          <w:sz w:val="28"/>
        </w:rPr>
        <w:t>3、预算金额、最高限价</w:t>
      </w:r>
      <w:r>
        <w:rPr>
          <w:b/>
          <w:sz w:val="28"/>
        </w:rPr>
        <w:t>：详见《采购标的一览表》。</w:t>
      </w:r>
    </w:p>
    <w:p>
      <w:pPr>
        <w:pStyle w:val="null3"/>
        <w:ind w:firstLine="480"/>
        <w:jc w:val="left"/>
        <w:outlineLvl w:val="2"/>
      </w:pPr>
      <w:r>
        <w:rPr>
          <w:b/>
          <w:sz w:val="28"/>
        </w:rPr>
        <w:t>4、招标内容及要求</w:t>
      </w:r>
      <w:r>
        <w:rPr>
          <w:b/>
          <w:sz w:val="28"/>
        </w:rPr>
        <w:t>：详见《采购标的一览表》及招标文件第五章。</w:t>
      </w:r>
    </w:p>
    <w:p>
      <w:pPr>
        <w:pStyle w:val="null3"/>
        <w:ind w:firstLine="480"/>
        <w:jc w:val="left"/>
        <w:outlineLvl w:val="2"/>
      </w:pPr>
      <w:r>
        <w:rPr>
          <w:b/>
          <w:sz w:val="28"/>
        </w:rPr>
        <w:t>5、需要落实的政府采购政策</w:t>
      </w:r>
    </w:p>
    <w:p>
      <w:pPr>
        <w:pStyle w:val="null3"/>
        <w:ind w:firstLine="960"/>
        <w:jc w:val="left"/>
      </w:pPr>
      <w:r>
        <w:rPr/>
        <w:t>进口产品：</w:t>
      </w:r>
      <w:r>
        <w:rPr/>
        <w:t>本项目允许进口</w:t>
      </w:r>
    </w:p>
    <w:p>
      <w:pPr>
        <w:pStyle w:val="null3"/>
        <w:ind w:firstLine="960"/>
        <w:jc w:val="left"/>
      </w:pPr>
      <w:r>
        <w:rPr/>
        <w:t>节能产品：</w:t>
      </w:r>
      <w:r>
        <w:rPr/>
        <w:t>按照最新一期的节能产品政府采购品目清单执行</w:t>
      </w:r>
    </w:p>
    <w:p>
      <w:pPr>
        <w:pStyle w:val="null3"/>
        <w:ind w:firstLine="960"/>
        <w:jc w:val="left"/>
      </w:pPr>
      <w:r>
        <w:rPr/>
        <w:t>环境标志产品：</w:t>
      </w:r>
      <w:r>
        <w:rPr/>
        <w:t>按照最新一期的环境标志产品政府采购品目清单执行</w:t>
      </w:r>
    </w:p>
    <w:p>
      <w:pPr>
        <w:pStyle w:val="null3"/>
        <w:ind w:firstLine="960"/>
        <w:jc w:val="left"/>
      </w:pPr>
      <w:r>
        <w:rPr/>
        <w:t>促进中小企业发展的相关政策：</w:t>
      </w:r>
    </w:p>
    <w:p>
      <w:pPr>
        <w:pStyle w:val="null3"/>
        <w:ind w:firstLine="960"/>
        <w:jc w:val="left"/>
      </w:pPr>
      <w:r>
        <w:rPr/>
        <w:t>采购包1：不专门面向中小企业采购</w:t>
      </w:r>
    </w:p>
    <w:p>
      <w:pPr>
        <w:pStyle w:val="null3"/>
        <w:ind w:firstLine="480"/>
        <w:jc w:val="both"/>
        <w:outlineLvl w:val="2"/>
      </w:pPr>
      <w:r>
        <w:rPr>
          <w:b/>
          <w:sz w:val="28"/>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“信用承诺制”要求</w:t>
            </w:r>
          </w:p>
        </w:tc>
        <w:tc>
          <w:tcPr>
            <w:tcW w:type="dxa" w:w="4614"/>
          </w:tcPr>
          <w:p>
            <w:pPr>
              <w:pStyle w:val="null3"/>
              <w:jc w:val="left"/>
            </w:pPr>
            <w:r>
              <w:rPr/>
              <w:t>本项目允许采用“信用承诺制”，根据《厦门市财政局关于进一步减轻供应商参与政府采购活动成本负担的通知》（厦财采〔2021〕5号）规定，供应商提供“资格承诺函”的即可参加采购活动，在响应文件中可不再提供财务状况报告、依法缴纳税收和社会保障资金的相关证明材料。供应商应当遵循诚实信用原则，不得作虚假承诺。供应商承诺不实的，属于提供虚假材料谋取成交，应依法承担相应的法律责任。</w:t>
            </w:r>
          </w:p>
        </w:tc>
      </w:tr>
      <w:tr>
        <w:tc>
          <w:tcPr>
            <w:tcW w:type="dxa" w:w="3692"/>
          </w:tcPr>
          <w:p>
            <w:pPr>
              <w:pStyle w:val="null3"/>
              <w:jc w:val="left"/>
            </w:pPr>
            <w:r>
              <w:rPr/>
              <w:t>强制性认证</w:t>
            </w:r>
          </w:p>
        </w:tc>
        <w:tc>
          <w:tcPr>
            <w:tcW w:type="dxa" w:w="4614"/>
          </w:tcPr>
          <w:p>
            <w:pPr>
              <w:pStyle w:val="null3"/>
              <w:jc w:val="left"/>
            </w:pPr>
            <w:r>
              <w:rPr/>
              <w:t>投标人所投产品国家若有其他强制性要求或认证的（如3C、节能认证），投标人须就此在投标文件中提供书面承诺，承诺所投产品满足国家强制要求并在供货时提供相关的有效强制性认证证书复印件；或者在文件中提供相关的有效强制性认证证书复印件，否则视为未实质性响应招标文件要求，按无效投标处理。</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b/>
          <w:sz w:val="28"/>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b/>
          <w:sz w:val="28"/>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b/>
          <w:sz w:val="28"/>
        </w:rPr>
        <w:t>9、开标时间及地点</w:t>
      </w:r>
    </w:p>
    <w:p>
      <w:pPr>
        <w:pStyle w:val="null3"/>
        <w:ind w:firstLine="960"/>
        <w:jc w:val="both"/>
      </w:pPr>
      <w:r>
        <w:rPr/>
        <w:t>详见招标公告或更正公告，若不一致，以更正公告为准。</w:t>
      </w:r>
    </w:p>
    <w:p>
      <w:pPr>
        <w:pStyle w:val="null3"/>
        <w:ind w:firstLine="480"/>
        <w:jc w:val="both"/>
        <w:outlineLvl w:val="2"/>
      </w:pPr>
      <w:r>
        <w:rPr>
          <w:b/>
          <w:sz w:val="28"/>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b/>
          <w:sz w:val="28"/>
        </w:rPr>
        <w:t>11、采购人</w:t>
      </w:r>
      <w:r>
        <w:rPr>
          <w:b/>
          <w:sz w:val="28"/>
        </w:rPr>
        <w:t>：</w:t>
      </w:r>
      <w:r>
        <w:rPr>
          <w:b/>
          <w:sz w:val="28"/>
        </w:rPr>
        <w:t>厦门市产品质量监督检验院</w:t>
      </w:r>
    </w:p>
    <w:p>
      <w:pPr>
        <w:pStyle w:val="null3"/>
        <w:ind w:firstLine="960"/>
        <w:jc w:val="left"/>
      </w:pPr>
      <w:r>
        <w:rPr/>
        <w:t xml:space="preserve"> 地址： </w:t>
      </w:r>
      <w:r>
        <w:rPr/>
        <w:t>福建省厦门市思明区湖滨南路170号三楼</w:t>
      </w:r>
    </w:p>
    <w:p>
      <w:pPr>
        <w:pStyle w:val="null3"/>
        <w:jc w:val="left"/>
      </w:pPr>
      <w:r>
        <w:rPr/>
        <w:t xml:space="preserve"> 邮编： </w:t>
      </w:r>
      <w:r>
        <w:rPr/>
        <w:t>361000</w:t>
      </w:r>
    </w:p>
    <w:p>
      <w:pPr>
        <w:pStyle w:val="null3"/>
        <w:jc w:val="left"/>
      </w:pPr>
      <w:r>
        <w:rPr/>
        <w:t xml:space="preserve"> 联系人： </w:t>
      </w:r>
      <w:r>
        <w:rPr/>
        <w:t>吴金泰</w:t>
      </w:r>
    </w:p>
    <w:p>
      <w:pPr>
        <w:pStyle w:val="null3"/>
        <w:jc w:val="left"/>
      </w:pPr>
      <w:r>
        <w:rPr/>
        <w:t xml:space="preserve"> 联系电话： </w:t>
      </w:r>
      <w:r>
        <w:rPr/>
        <w:t>0592-2699760</w:t>
      </w:r>
    </w:p>
    <w:p>
      <w:pPr>
        <w:pStyle w:val="null3"/>
        <w:ind w:firstLine="480"/>
        <w:jc w:val="left"/>
        <w:outlineLvl w:val="2"/>
      </w:pPr>
      <w:r>
        <w:rPr>
          <w:b/>
          <w:sz w:val="28"/>
        </w:rPr>
        <w:t>12、代理机构</w:t>
      </w:r>
      <w:r>
        <w:rPr>
          <w:b/>
          <w:sz w:val="28"/>
        </w:rPr>
        <w:t>：</w:t>
      </w:r>
      <w:r>
        <w:rPr>
          <w:b/>
          <w:sz w:val="28"/>
        </w:rPr>
        <w:t>华睿诚项目管理有限公司</w:t>
      </w:r>
    </w:p>
    <w:p>
      <w:pPr>
        <w:pStyle w:val="null3"/>
        <w:ind w:firstLine="960"/>
        <w:jc w:val="both"/>
      </w:pPr>
      <w:r>
        <w:rPr/>
        <w:t xml:space="preserve"> 地址： </w:t>
      </w:r>
      <w:r>
        <w:rPr/>
        <w:t>厦门市湖里区湖里大道6号北方商务大厦211单元</w:t>
      </w:r>
    </w:p>
    <w:p>
      <w:pPr>
        <w:pStyle w:val="null3"/>
        <w:jc w:val="both"/>
      </w:pPr>
      <w:r>
        <w:rPr/>
        <w:t xml:space="preserve"> 邮编： </w:t>
      </w:r>
      <w:r>
        <w:rPr/>
        <w:t>361006</w:t>
      </w:r>
    </w:p>
    <w:p>
      <w:pPr>
        <w:pStyle w:val="null3"/>
        <w:jc w:val="both"/>
      </w:pPr>
      <w:r>
        <w:rPr/>
        <w:t xml:space="preserve"> 联系人： </w:t>
      </w:r>
      <w:r>
        <w:rPr/>
        <w:t>郭冰鑫</w:t>
      </w:r>
    </w:p>
    <w:p>
      <w:pPr>
        <w:pStyle w:val="null3"/>
        <w:jc w:val="both"/>
      </w:pPr>
      <w:r>
        <w:rPr/>
        <w:t xml:space="preserve"> 联系电话： </w:t>
      </w:r>
      <w:r>
        <w:rPr/>
        <w:t>0592-5730731</w:t>
      </w:r>
    </w:p>
    <w:p>
      <w:pPr>
        <w:pStyle w:val="null3"/>
        <w:ind w:firstLine="480"/>
        <w:jc w:val="both"/>
        <w:outlineLvl w:val="2"/>
      </w:pPr>
      <w:r>
        <w:rPr>
          <w:b/>
          <w:sz w:val="28"/>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华睿诚项目管理有限公司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b/>
          <w:sz w:val="28"/>
        </w:rPr>
        <w:t>附2：采购标的一览表</w:t>
      </w:r>
    </w:p>
    <w:p>
      <w:pPr>
        <w:pStyle w:val="null3"/>
        <w:jc w:val="left"/>
      </w:pPr>
      <w:r>
        <w:rPr/>
        <w:t>采购包1：</w:t>
      </w:r>
    </w:p>
    <w:p>
      <w:pPr>
        <w:pStyle w:val="null3"/>
        <w:jc w:val="left"/>
      </w:pPr>
      <w:r>
        <w:rPr/>
        <w:t>采购包预算金额（元）: 1,900,000.00</w:t>
      </w:r>
    </w:p>
    <w:p>
      <w:pPr>
        <w:pStyle w:val="null3"/>
        <w:jc w:val="left"/>
      </w:pPr>
      <w:r>
        <w:rPr/>
        <w:t>采购包最高限价（元）: 1,900,000.00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新能源车滑板底盘测试系统</w:t>
            </w:r>
          </w:p>
        </w:tc>
        <w:tc>
          <w:tcPr>
            <w:tcW w:type="dxa" w:w="1187"/>
          </w:tcPr>
          <w:p>
            <w:pPr>
              <w:pStyle w:val="null3"/>
              <w:jc w:val="right"/>
            </w:pPr>
            <w:r>
              <w:rPr/>
              <w:t>1.00</w:t>
            </w:r>
          </w:p>
        </w:tc>
        <w:tc>
          <w:tcPr>
            <w:tcW w:type="dxa" w:w="1187"/>
          </w:tcPr>
          <w:p>
            <w:pPr>
              <w:pStyle w:val="null3"/>
              <w:jc w:val="right"/>
            </w:pPr>
            <w:r>
              <w:rPr/>
              <w:t>1,900,000.00</w:t>
            </w:r>
          </w:p>
        </w:tc>
        <w:tc>
          <w:tcPr>
            <w:tcW w:type="dxa" w:w="1187"/>
          </w:tcPr>
          <w:p>
            <w:pPr>
              <w:pStyle w:val="null3"/>
              <w:jc w:val="left"/>
            </w:pPr>
            <w:r>
              <w:rPr/>
              <w:t>套</w:t>
            </w:r>
          </w:p>
        </w:tc>
        <w:tc>
          <w:tcPr>
            <w:tcW w:type="dxa" w:w="1187"/>
          </w:tcPr>
          <w:p>
            <w:pPr>
              <w:pStyle w:val="null3"/>
              <w:jc w:val="left"/>
            </w:pPr>
            <w:r>
              <w:rPr/>
              <w:t>工业</w:t>
            </w:r>
          </w:p>
        </w:tc>
        <w:tc>
          <w:tcPr>
            <w:tcW w:type="dxa" w:w="1187"/>
          </w:tcPr>
          <w:p>
            <w:pPr>
              <w:pStyle w:val="null3"/>
              <w:jc w:val="left"/>
            </w:pPr>
            <w:r>
              <w:rPr/>
              <w:t>是</w:t>
            </w:r>
          </w:p>
        </w:tc>
      </w:tr>
    </w:tbl>
    <w:p>
      <w:pPr>
        <w:pStyle w:val="null3"/>
      </w:pPr>
      <w:r>
        <w:rPr/>
        <w:t xml:space="preserve"> </w:t>
        <w:br/>
        <w:br w:type="page"/>
      </w:r>
    </w:p>
    <w:p>
      <w:pPr>
        <w:pStyle w:val="null3"/>
        <w:jc w:val="center"/>
        <w:outlineLvl w:val="1"/>
      </w:pPr>
      <w:r>
        <w:rPr>
          <w:b/>
          <w:sz w:val="36"/>
        </w:rPr>
        <w:t>第二章 投标人须知前附表</w:t>
      </w:r>
    </w:p>
    <w:p>
      <w:pPr>
        <w:pStyle w:val="null3"/>
        <w:ind w:firstLine="480"/>
        <w:jc w:val="both"/>
        <w:outlineLvl w:val="2"/>
      </w:pPr>
      <w:r>
        <w:rPr>
          <w:b/>
          <w:sz w:val="28"/>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180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采购包1：3名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 （1） </w:t>
            </w:r>
            <w:r>
              <w:rPr/>
              <w:t>采购人应在政府采购招投标管理办法规定的时限内确定中标人。</w:t>
            </w:r>
          </w:p>
          <w:p>
            <w:pPr>
              <w:pStyle w:val="null3"/>
              <w:jc w:val="left"/>
            </w:pPr>
            <w:r>
              <w:rPr/>
              <w:t xml:space="preserve"> （2）若出现中标候选人并列情形，则按照下列方式确定中标人：</w:t>
            </w:r>
          </w:p>
          <w:p>
            <w:pPr>
              <w:pStyle w:val="null3"/>
              <w:jc w:val="left"/>
            </w:pPr>
            <w:r>
              <w:rPr/>
              <w:t xml:space="preserve"> ①招标文件规定的方式：</w:t>
            </w:r>
          </w:p>
          <w:p>
            <w:pPr>
              <w:pStyle w:val="null3"/>
              <w:jc w:val="left"/>
            </w:pPr>
            <w:r>
              <w:rPr/>
              <w:t>无</w:t>
            </w:r>
          </w:p>
          <w:p>
            <w:pPr>
              <w:pStyle w:val="null3"/>
              <w:jc w:val="left"/>
            </w:pPr>
            <w:r>
              <w:rPr/>
              <w:t xml:space="preserve"> ②若本款第①点规定方式为“无”，则按照下列方式确定：</w:t>
            </w:r>
          </w:p>
          <w:p>
            <w:pPr>
              <w:pStyle w:val="null3"/>
              <w:jc w:val="left"/>
            </w:pPr>
            <w:r>
              <w:rPr/>
              <w:t>无</w:t>
            </w:r>
          </w:p>
          <w:p>
            <w:pPr>
              <w:pStyle w:val="null3"/>
              <w:jc w:val="left"/>
            </w:pPr>
            <w:r>
              <w:rPr/>
              <w:t xml:space="preserve"> ③若本款第①、②点规定方式均为“无”，则按照下列方式确定：随机抽取。</w:t>
            </w:r>
          </w:p>
          <w:p>
            <w:pPr>
              <w:pStyle w:val="null3"/>
              <w:jc w:val="left"/>
            </w:pPr>
            <w:r>
              <w:rPr/>
              <w:t xml:space="preserve"> （3）本项目确定的中标人家数：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华睿诚项目管理有限公司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厦门市采购监督管理办公室</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以单个合同包的成交总金额为准，按差额定率累进法计取：（0，100万元]，1.50%；（100万元，500万元]，1.10%。（2）代理服务费由供应商在领取成交通知书的同时，以转账、电汇、现金存款等付款方式一次性缴清。（3）符合中小企业政策规定且资料提供完整的企业，成交后可享受服务费下浮10%的优惠。（4）因供应商自身原因导致最终无法承接项目的，代理服务费不予退还。</w:t>
            </w:r>
          </w:p>
          <w:p>
            <w:pPr>
              <w:pStyle w:val="null3"/>
              <w:jc w:val="left"/>
            </w:pPr>
            <w:r>
              <w:rPr/>
              <w:t xml:space="preserve"> (2)其他：</w:t>
            </w:r>
          </w:p>
          <w:p>
            <w:pPr>
              <w:pStyle w:val="null3"/>
              <w:jc w:val="left"/>
            </w:pPr>
            <w:r>
              <w:rPr/>
              <w:t>①本项目在线解密时间暂定为30分钟，未在规定的时间内解密的视为未参加本次投标。②本项目推荐3名中标候选供应商。③本项目的采购代理服务费由中标人支付。中标人领取中标通知书时，一次性向代理机构交纳代理服务费。采购代理服务费专户：开户名：华睿诚项目管理有限公司厦门分公司；开户行：中国建设银行股份有限公司厦门政务中心支行；账号：35150110179900000782。④质疑受理的其它要求：a.供应商递交质疑函时需提供本项目报名成功的证明材料，否则将不被认定为潜在供应商，其质疑将不予受理。b.在法定质疑期内供应商须一次性提出针对同一采购程序环节的质疑，若供应商多次对同一采购程序环节提出质疑的，采购代理机构将不予以受理。</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b/>
          <w:sz w:val="28"/>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提供财务状况报告(财务报告、或资信证明）：①投标人提供的财务报告复印件（成立年限按照投标截止时间推算）应符合下列规定：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 信用记录查询结果：①信用记录查询的截止时点：信用记录查询的截止时点为本项目投标截止当日。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r>
              <w:rPr/>
              <w:t xml:space="preserve"> 的内容修正为下列内容：</w:t>
            </w:r>
          </w:p>
          <w:p>
            <w:pPr>
              <w:pStyle w:val="null3"/>
              <w:jc w:val="left"/>
            </w:pPr>
            <w:r>
              <w:rPr/>
              <w:t>提供财务状况报告(财务报告、或资信证明）：①投标人提供的财务报告复印件（成立年限按照投标截止时间推算）应符合下列规定： a.成立年限满1年及以上的投标人，提供经审计的上一年度或2022年度的年度财务报告。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 信用记录查询结果：1.信用信息查询渠道：通过“信用中国”网站（www.creditchina.gov.cn）、中国政府采购网（www.ccgp.gov.cn）、“信用厦门”网站（credit.xm.gov.cn）查询所有供应商的信用信息。 2.截止时点：查询供应商截止开标当天前三年内的信用信息。 3.查询记录和证据留存方式：将查询结果网页打印后随采购文件一并存档。 4.信用信息的使用规则：（1）查询结果显示供应商存在不良信用记录（包含列入失信被执行人、重大税收违法案件当事人名单、政府采购严重违法失信行为记录名单及其他不符合《中华人民共和国政府采购法》第二十二条规定条件）的，其资格审查不合格。（2）因查询渠道网站原因导致查无供应商信息的，不认定供应商资格审查不合格；评审结束后，通过其他渠道发现供应商存在不良信用记录的，不认定为资格审查错误，将依照有关规定进行调查处理。（3）联合体成员存在不良信用记录的，视同联合体存在不良信用记录，联合体资格审查不合格。 5.供应商无需提供信用信息查询结果。若供应商自行提供查询结果的，仍以评标当天查询结果为准。</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分项报价一览表、投标客户端的分项报价一览表应保持一致，并以投标客户端的分项报价一览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无</w:t>
            </w:r>
          </w:p>
        </w:tc>
      </w:tr>
    </w:tbl>
    <w:p>
      <w:pPr>
        <w:pStyle w:val="null3"/>
      </w:pPr>
      <w:r>
        <w:rPr/>
        <w:t xml:space="preserve"> </w:t>
        <w:br/>
        <w:br w:type="page"/>
      </w:r>
    </w:p>
    <w:p>
      <w:pPr>
        <w:pStyle w:val="null3"/>
        <w:jc w:val="center"/>
        <w:outlineLvl w:val="1"/>
      </w:pPr>
      <w:r>
        <w:rPr>
          <w:b/>
          <w:sz w:val="36"/>
        </w:rPr>
        <w:t>第三章 投标人须知</w:t>
      </w:r>
    </w:p>
    <w:p>
      <w:pPr>
        <w:pStyle w:val="null3"/>
        <w:ind w:firstLine="480"/>
        <w:jc w:val="both"/>
        <w:outlineLvl w:val="2"/>
      </w:pPr>
      <w:r>
        <w:rPr>
          <w:b/>
          <w:sz w:val="28"/>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b/>
          <w:sz w:val="28"/>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b/>
          <w:sz w:val="28"/>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华睿诚项目管理有限公司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华睿诚项目管理有限公司</w:t>
      </w:r>
      <w:r>
        <w:rPr/>
        <w:t xml:space="preserve"> 将在投标截止时间至少15个日历日前，在招标文件载明的指定媒体以更正公告的形式发布澄清或修改的内容。不足15个日历日的， </w:t>
      </w:r>
      <w:r>
        <w:rPr/>
        <w:t>华睿诚项目管理有限公司</w:t>
      </w:r>
      <w:r>
        <w:rPr/>
        <w:t xml:space="preserve"> 将顺延投标截止时间及开标时间， </w:t>
      </w:r>
      <w:r>
        <w:rPr/>
        <w:t>华睿诚项目管理有限公司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华睿诚项目管理有限公司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华睿诚项目管理有限公司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华睿诚项目管理有限公司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华睿诚项目管理有限公司</w:t>
      </w:r>
      <w:r>
        <w:rPr/>
        <w:t xml:space="preserve"> 可终止招标并发布终止公告。</w:t>
      </w:r>
    </w:p>
    <w:p>
      <w:pPr>
        <w:pStyle w:val="null3"/>
        <w:ind w:firstLine="480"/>
        <w:jc w:val="both"/>
      </w:pPr>
      <w:r>
        <w:rPr/>
        <w:t xml:space="preserve">8.2终止公告作为 </w:t>
      </w:r>
      <w:r>
        <w:rPr/>
        <w:t>华睿诚项目管理有限公司</w:t>
      </w:r>
      <w:r>
        <w:rPr/>
        <w:t xml:space="preserve"> 通知所有潜在投标人的书面形式。</w:t>
      </w:r>
    </w:p>
    <w:p>
      <w:pPr>
        <w:pStyle w:val="null3"/>
        <w:ind w:firstLine="480"/>
        <w:jc w:val="both"/>
        <w:outlineLvl w:val="2"/>
      </w:pPr>
      <w:r>
        <w:rPr>
          <w:b/>
          <w:sz w:val="28"/>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①开标一览表</w:t>
      </w:r>
    </w:p>
    <w:p>
      <w:pPr>
        <w:pStyle w:val="null3"/>
        <w:ind w:firstLine="480"/>
        <w:jc w:val="both"/>
      </w:pPr>
      <w:r>
        <w:rPr/>
        <w:t>②投标分项报价表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华睿诚项目管理有限公司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华睿诚项目管理有限公司</w:t>
      </w:r>
      <w:r>
        <w:rPr/>
        <w:t xml:space="preserve"> 可于投标有效期届满之前书面要求投标人延长投标有效期，投标人应在 </w:t>
      </w:r>
      <w:r>
        <w:rPr/>
        <w:t>华睿诚项目管理有限公司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华睿诚项目管理有限公司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华睿诚项目管理有限公司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华睿诚项目管理有限公司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b/>
          <w:sz w:val="28"/>
        </w:rPr>
        <w:t>五、开标</w:t>
      </w:r>
    </w:p>
    <w:p>
      <w:pPr>
        <w:pStyle w:val="null3"/>
        <w:ind w:firstLine="480"/>
        <w:jc w:val="both"/>
      </w:pPr>
      <w:r>
        <w:rPr/>
        <w:t>11、开标</w:t>
      </w:r>
    </w:p>
    <w:p>
      <w:pPr>
        <w:pStyle w:val="null3"/>
        <w:ind w:firstLine="480"/>
        <w:jc w:val="both"/>
      </w:pPr>
      <w:r>
        <w:rPr/>
        <w:t xml:space="preserve">11.1 </w:t>
      </w:r>
      <w:r>
        <w:rPr/>
        <w:t>华睿诚项目管理有限公司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华睿诚项目管理有限公司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华睿诚项目管理有限公司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华睿诚项目管理有限公司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b/>
          <w:sz w:val="28"/>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华睿诚项目管理有限公司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华睿诚项目管理有限公司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b/>
          <w:sz w:val="28"/>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华睿诚项目管理有限公司</w:t>
      </w:r>
      <w:r>
        <w:rPr/>
        <w:t xml:space="preserve"> 提出询问， </w:t>
      </w:r>
      <w:r>
        <w:rPr/>
        <w:t>华睿诚项目管理有限公司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华睿诚项目管理有限公司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b/>
          <w:sz w:val="28"/>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b/>
          <w:sz w:val="28"/>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b/>
          <w:sz w:val="28"/>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b/>
          <w:sz w:val="36"/>
        </w:rPr>
        <w:t>第四章 资格审查与评标</w:t>
      </w:r>
    </w:p>
    <w:p>
      <w:pPr>
        <w:pStyle w:val="null3"/>
        <w:jc w:val="both"/>
        <w:outlineLvl w:val="2"/>
      </w:pPr>
      <w:r>
        <w:rPr>
          <w:b/>
          <w:sz w:val="28"/>
        </w:rPr>
        <w:t>一、资格审查</w:t>
      </w:r>
    </w:p>
    <w:p>
      <w:pPr>
        <w:pStyle w:val="null3"/>
        <w:ind w:firstLine="480"/>
        <w:jc w:val="both"/>
      </w:pPr>
      <w:r>
        <w:rPr/>
        <w:t xml:space="preserve">1、开标结束后，由 </w:t>
      </w:r>
      <w:r>
        <w:rPr/>
        <w:t>华睿诚项目管理有限公司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由华睿诚项目管理有限公司派出的工作人员至少1人，</w:t>
      </w:r>
      <w:r>
        <w:rPr/>
        <w:t>其余1人可为采购人代表或华睿诚项目管理有限公司的工作人员。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“信用承诺制”要求</w:t>
            </w:r>
          </w:p>
        </w:tc>
        <w:tc>
          <w:tcPr>
            <w:tcW w:type="dxa" w:w="4614"/>
          </w:tcPr>
          <w:p>
            <w:pPr>
              <w:pStyle w:val="null3"/>
              <w:jc w:val="left"/>
            </w:pPr>
            <w:r>
              <w:rPr/>
              <w:t>本项目允许采用“信用承诺制”，根据《厦门市财政局关于进一步减轻供应商参与政府采购活动成本负担的通知》（厦财采〔2021〕5号）规定，供应商提供“资格承诺函”的即可参加采购活动，在响应文件中可不再提供财务状况报告、依法缴纳税收和社会保障资金的相关证明材料。供应商应当遵循诚实信用原则，不得作虚假承诺。供应商承诺不实的，属于提供虚假材料谋取成交，应依法承担相应的法律责任。</w:t>
            </w:r>
          </w:p>
        </w:tc>
      </w:tr>
      <w:tr>
        <w:tc>
          <w:tcPr>
            <w:tcW w:type="dxa" w:w="3692"/>
          </w:tcPr>
          <w:p>
            <w:pPr>
              <w:pStyle w:val="null3"/>
              <w:jc w:val="left"/>
            </w:pPr>
            <w:r>
              <w:rPr/>
              <w:t>强制性认证</w:t>
            </w:r>
          </w:p>
        </w:tc>
        <w:tc>
          <w:tcPr>
            <w:tcW w:type="dxa" w:w="4614"/>
          </w:tcPr>
          <w:p>
            <w:pPr>
              <w:pStyle w:val="null3"/>
              <w:jc w:val="left"/>
            </w:pPr>
            <w:r>
              <w:rPr/>
              <w:t>投标人所投产品国家若有其他强制性要求或认证的（如3C、节能认证），投标人须就此在投标文件中提供书面承诺，承诺所投产品满足国家强制要求并在供货时提供相关的有效强制性认证证书复印件；或者在文件中提供相关的有效强制性认证证书复印件，否则视为未实质性响应招标文件要求，按无效投标处理。</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资格审查不合格项：无</w:t>
      </w:r>
    </w:p>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华睿诚项目管理有限公司</w:t>
      </w:r>
      <w:r>
        <w:rPr/>
        <w:t xml:space="preserve"> 统一对外发布。</w:t>
      </w:r>
    </w:p>
    <w:p>
      <w:pPr>
        <w:pStyle w:val="null3"/>
        <w:ind w:firstLine="480"/>
        <w:jc w:val="both"/>
      </w:pPr>
      <w:r>
        <w:rPr/>
        <w:t xml:space="preserve">3、资格审查合格的投标人不足三家的，不进行评标。同时，本次采购活动结束， </w:t>
      </w:r>
      <w:r>
        <w:rPr/>
        <w:t>华睿诚项目管理有限公司</w:t>
      </w:r>
      <w:r>
        <w:rPr/>
        <w:t xml:space="preserve"> 将依法组织后续采购活动（包括但不限于：重新招标、采用其他方式采购等）。</w:t>
      </w:r>
    </w:p>
    <w:p>
      <w:pPr>
        <w:pStyle w:val="null3"/>
        <w:jc w:val="both"/>
        <w:outlineLvl w:val="2"/>
      </w:pPr>
      <w:r>
        <w:rPr>
          <w:b/>
          <w:sz w:val="28"/>
        </w:rPr>
        <w:t>二、评标</w:t>
      </w:r>
    </w:p>
    <w:p>
      <w:pPr>
        <w:pStyle w:val="null3"/>
        <w:ind w:firstLine="480"/>
        <w:jc w:val="both"/>
      </w:pPr>
      <w:r>
        <w:rPr/>
        <w:t xml:space="preserve">4、资格审查结束后，由 </w:t>
      </w:r>
      <w:r>
        <w:rPr/>
        <w:t>华睿诚项目管理有限公司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华睿诚项目管理有限公司</w:t>
      </w:r>
      <w:r>
        <w:rPr/>
        <w:t xml:space="preserve"> 统一对外发布。</w:t>
      </w:r>
    </w:p>
    <w:p>
      <w:pPr>
        <w:pStyle w:val="null3"/>
        <w:ind w:firstLine="480"/>
        <w:jc w:val="both"/>
      </w:pPr>
      <w:r>
        <w:rPr/>
        <w:t xml:space="preserve">②对 </w:t>
      </w:r>
      <w:r>
        <w:rPr/>
        <w:t>华睿诚项目管理有限公司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投标人的投标文件对招标文件中带“★”条款实质性不满足或负偏离。</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投标人的投标文件对招标文件中带“★”条款实质性不满足或负偏离。</w:t>
            </w:r>
          </w:p>
        </w:tc>
      </w:tr>
    </w:tbl>
    <w:p>
      <w:pPr>
        <w:pStyle w:val="null3"/>
        <w:jc w:val="left"/>
      </w:pPr>
      <w:r>
        <w:rPr/>
        <w:t>附加符合性：无</w:t>
      </w:r>
    </w:p>
    <w:p>
      <w:pPr>
        <w:pStyle w:val="null3"/>
        <w:jc w:val="left"/>
      </w:pPr>
      <w:r>
        <w:rPr/>
        <w:t>价格符合性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投标人的报价超过招标文件规定的最高限价的为无效投标。</w:t>
            </w:r>
          </w:p>
        </w:tc>
      </w:tr>
    </w:tbl>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①开标一览表内容与电子投标文件中相应内容不一致的，以开标一览表为准；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华睿诚项目管理有限公司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价格项（F1×A1）满分为35.00分</w:t>
      </w:r>
    </w:p>
    <w:p>
      <w:pPr>
        <w:pStyle w:val="null3"/>
        <w:jc w:val="both"/>
      </w:pPr>
      <w:r>
        <w:rPr/>
        <w:t xml:space="preserve"> 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价格扣除的规则如下：</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r>
        <w:tc>
          <w:tcPr>
            <w:tcW w:type="dxa" w:w="1661"/>
          </w:tcPr>
          <w:p>
            <w:pPr>
              <w:pStyle w:val="null3"/>
              <w:jc w:val="both"/>
            </w:pPr>
            <w:r>
              <w:rPr/>
              <w:t>小型、微型企业，监狱企业，残疾人福利性单位</w:t>
            </w:r>
          </w:p>
        </w:tc>
        <w:tc>
          <w:tcPr>
            <w:tcW w:type="dxa" w:w="1661"/>
          </w:tcPr>
          <w:p>
            <w:pPr>
              <w:pStyle w:val="null3"/>
              <w:jc w:val="both"/>
            </w:pPr>
            <w:r>
              <w:rPr/>
              <w:t>投标人或者联合体均为小型、微型企业</w:t>
            </w:r>
          </w:p>
        </w:tc>
        <w:tc>
          <w:tcPr>
            <w:tcW w:type="dxa" w:w="831"/>
          </w:tcPr>
          <w:p>
            <w:pPr>
              <w:pStyle w:val="null3"/>
              <w:jc w:val="right"/>
            </w:pPr>
            <w:r>
              <w:rPr/>
              <w:t>15.00%</w:t>
            </w:r>
          </w:p>
        </w:tc>
        <w:tc>
          <w:tcPr>
            <w:tcW w:type="dxa" w:w="4153"/>
          </w:tcPr>
          <w:p>
            <w:pPr>
              <w:pStyle w:val="null3"/>
              <w:jc w:val="both"/>
            </w:pPr>
            <w:r>
              <w:rPr/>
              <w:t>1、对小、微企业报价给予 15%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10.00%</w:t>
            </w:r>
          </w:p>
        </w:tc>
        <w:tc>
          <w:tcPr>
            <w:tcW w:type="dxa" w:w="5191"/>
          </w:tcPr>
          <w:p>
            <w:pPr>
              <w:pStyle w:val="null3"/>
              <w:jc w:val="both"/>
            </w:pPr>
            <w:r>
              <w:rPr/>
              <w:t>1、同一采购包内，对节能产品、环境标志产品政府采购品目清单范围内，实施优先采购的产品，给予产品价格报价10%的扣除，用扣除后的价格参加评审。采购标的同时包含其它非优先采购产品的，应当在采购文件中要求供应商对优先采购产品和非优先采购产品进行分项报价，非优先采购产品的报价不得享受给予节能产品、环境标志产品的价格扣除优惠。2、同一优先采购产品中各认证证书不重复计算价格扣除。强制类节能产品不进行价格扣除。3、投标人须如实在投标文件中填写优先类节能产品、环境标志产品统计表并提供相关认证证书及对应清单目录截图，否则不予以加分。</w:t>
            </w:r>
          </w:p>
        </w:tc>
      </w:tr>
    </w:tbl>
    <w:p>
      <w:pPr>
        <w:pStyle w:val="null3"/>
        <w:jc w:val="both"/>
      </w:pPr>
      <w:r>
        <w:rPr/>
        <w:t>其他：无</w:t>
      </w:r>
    </w:p>
    <w:p>
      <w:pPr>
        <w:pStyle w:val="null3"/>
        <w:jc w:val="both"/>
      </w:pPr>
      <w:r>
        <w:rPr/>
        <w:t>技术项（F2×A2）满分为50.00分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1-1</w:t>
            </w:r>
          </w:p>
        </w:tc>
        <w:tc>
          <w:tcPr>
            <w:tcW w:type="dxa" w:w="831"/>
          </w:tcPr>
          <w:p>
            <w:pPr>
              <w:pStyle w:val="null3"/>
              <w:jc w:val="right"/>
            </w:pPr>
            <w:r>
              <w:rPr/>
              <w:t>3.00</w:t>
            </w:r>
          </w:p>
        </w:tc>
        <w:tc>
          <w:tcPr>
            <w:tcW w:type="dxa" w:w="4153"/>
          </w:tcPr>
          <w:p>
            <w:pPr>
              <w:pStyle w:val="null3"/>
              <w:jc w:val="both"/>
            </w:pPr>
            <w:r>
              <w:rPr/>
              <w:t>根据投标人对招标文件“第五章招标内容及要求”中的二、技术和服务要求的响应情况进行评分：完全满足“▲3.2.4驱动电机类型：应采用直接驱动无刷电机；（提供产品彩页或说明书予以佐证）得3分，未提供产品彩页或说明书或佐证内容不符合要求的不得分。</w:t>
            </w:r>
          </w:p>
        </w:tc>
      </w:tr>
      <w:tr>
        <w:tc>
          <w:tcPr>
            <w:tcW w:type="dxa" w:w="3322"/>
          </w:tcPr>
          <w:p>
            <w:pPr>
              <w:pStyle w:val="null3"/>
              <w:jc w:val="both"/>
            </w:pPr>
            <w:r>
              <w:rPr/>
              <w:t>1-2</w:t>
            </w:r>
          </w:p>
        </w:tc>
        <w:tc>
          <w:tcPr>
            <w:tcW w:type="dxa" w:w="831"/>
          </w:tcPr>
          <w:p>
            <w:pPr>
              <w:pStyle w:val="null3"/>
              <w:jc w:val="right"/>
            </w:pPr>
            <w:r>
              <w:rPr/>
              <w:t>3.00</w:t>
            </w:r>
          </w:p>
        </w:tc>
        <w:tc>
          <w:tcPr>
            <w:tcW w:type="dxa" w:w="4153"/>
          </w:tcPr>
          <w:p>
            <w:pPr>
              <w:pStyle w:val="null3"/>
              <w:jc w:val="both"/>
            </w:pPr>
            <w:r>
              <w:rPr/>
              <w:t>根据投标人对招标文件“第五章招标内容及要求”中的二、技术和服务要求的响应情况进行评分：完全满足“3.2.6转向力矩误差≤0.2N·m ；(提供带CNAS标志的第三方计量报告予以佐证) 得3分，未提供带CNAS标志的第三方计量报告或佐证内容不符合要求的不得分。</w:t>
            </w:r>
          </w:p>
        </w:tc>
      </w:tr>
      <w:tr>
        <w:tc>
          <w:tcPr>
            <w:tcW w:type="dxa" w:w="3322"/>
          </w:tcPr>
          <w:p>
            <w:pPr>
              <w:pStyle w:val="null3"/>
              <w:jc w:val="both"/>
            </w:pPr>
            <w:r>
              <w:rPr/>
              <w:t>1-3</w:t>
            </w:r>
          </w:p>
        </w:tc>
        <w:tc>
          <w:tcPr>
            <w:tcW w:type="dxa" w:w="831"/>
          </w:tcPr>
          <w:p>
            <w:pPr>
              <w:pStyle w:val="null3"/>
              <w:jc w:val="right"/>
            </w:pPr>
            <w:r>
              <w:rPr/>
              <w:t>3.00</w:t>
            </w:r>
          </w:p>
        </w:tc>
        <w:tc>
          <w:tcPr>
            <w:tcW w:type="dxa" w:w="4153"/>
          </w:tcPr>
          <w:p>
            <w:pPr>
              <w:pStyle w:val="null3"/>
              <w:jc w:val="both"/>
            </w:pPr>
            <w:r>
              <w:rPr/>
              <w:t>根据投标人对招标文件“第五章招标内容及要求”中的二、技术和服务要求的响应情况进行评分：完全满足“▲3.2.16在试验过程中可以通过控制手柄实时修正转向角度，并能在较小的试验跑道上完成扫频和连续正弦等测试。（提供扫频和连续正弦测试功能截图予以佐证）得3分，未提供扫频和连续正弦测试功能截图或视频截图不符合要求不得分。</w:t>
            </w:r>
          </w:p>
        </w:tc>
      </w:tr>
      <w:tr>
        <w:tc>
          <w:tcPr>
            <w:tcW w:type="dxa" w:w="3322"/>
          </w:tcPr>
          <w:p>
            <w:pPr>
              <w:pStyle w:val="null3"/>
              <w:jc w:val="both"/>
            </w:pPr>
            <w:r>
              <w:rPr/>
              <w:t>1-4</w:t>
            </w:r>
          </w:p>
        </w:tc>
        <w:tc>
          <w:tcPr>
            <w:tcW w:type="dxa" w:w="831"/>
          </w:tcPr>
          <w:p>
            <w:pPr>
              <w:pStyle w:val="null3"/>
              <w:jc w:val="right"/>
            </w:pPr>
            <w:r>
              <w:rPr/>
              <w:t>3.00</w:t>
            </w:r>
          </w:p>
        </w:tc>
        <w:tc>
          <w:tcPr>
            <w:tcW w:type="dxa" w:w="4153"/>
          </w:tcPr>
          <w:p>
            <w:pPr>
              <w:pStyle w:val="null3"/>
              <w:jc w:val="both"/>
            </w:pPr>
            <w:r>
              <w:rPr/>
              <w:t>根据投标人对招标文件“第五章招标内容及要求”中的二、技术和服务要求的响应情况进行评分：完全满足“▲3.2.17安装方式：应采用侧向立柱反作用支柱安装（带转矩测试转感器），从而实现无需对车辆本身进行任何改动即可安装，且不影响安全气囊正常弹出。（提供设备安装于乘用车及商用车的照片予以佐证）得3分；未提供设备安装于乘用车及商用车的照片或提供的照片不符合要求不得分。</w:t>
            </w:r>
          </w:p>
        </w:tc>
      </w:tr>
      <w:tr>
        <w:tc>
          <w:tcPr>
            <w:tcW w:type="dxa" w:w="3322"/>
          </w:tcPr>
          <w:p>
            <w:pPr>
              <w:pStyle w:val="null3"/>
              <w:jc w:val="both"/>
            </w:pPr>
            <w:r>
              <w:rPr/>
              <w:t>1-5</w:t>
            </w:r>
          </w:p>
        </w:tc>
        <w:tc>
          <w:tcPr>
            <w:tcW w:type="dxa" w:w="831"/>
          </w:tcPr>
          <w:p>
            <w:pPr>
              <w:pStyle w:val="null3"/>
              <w:jc w:val="right"/>
            </w:pPr>
            <w:r>
              <w:rPr/>
              <w:t>3.00</w:t>
            </w:r>
          </w:p>
        </w:tc>
        <w:tc>
          <w:tcPr>
            <w:tcW w:type="dxa" w:w="4153"/>
          </w:tcPr>
          <w:p>
            <w:pPr>
              <w:pStyle w:val="null3"/>
              <w:jc w:val="both"/>
            </w:pPr>
            <w:r>
              <w:rPr/>
              <w:t>根据投标人对招标文件“第五章招标内容及要求”中的二、技术和服务要求的响应情况进行评分：完全满足“▲3.3.5制动踏板力误差≤1N；(需提供带CNAS标志的第三方计量报告予以佐证) 得3分，未提供或提供的相关证明材料不符合要求不得分。</w:t>
            </w:r>
          </w:p>
        </w:tc>
      </w:tr>
      <w:tr>
        <w:tc>
          <w:tcPr>
            <w:tcW w:type="dxa" w:w="3322"/>
          </w:tcPr>
          <w:p>
            <w:pPr>
              <w:pStyle w:val="null3"/>
              <w:jc w:val="both"/>
            </w:pPr>
            <w:r>
              <w:rPr/>
              <w:t>1-6</w:t>
            </w:r>
          </w:p>
        </w:tc>
        <w:tc>
          <w:tcPr>
            <w:tcW w:type="dxa" w:w="831"/>
          </w:tcPr>
          <w:p>
            <w:pPr>
              <w:pStyle w:val="null3"/>
              <w:jc w:val="right"/>
            </w:pPr>
            <w:r>
              <w:rPr/>
              <w:t>3.00</w:t>
            </w:r>
          </w:p>
        </w:tc>
        <w:tc>
          <w:tcPr>
            <w:tcW w:type="dxa" w:w="4153"/>
          </w:tcPr>
          <w:p>
            <w:pPr>
              <w:pStyle w:val="null3"/>
              <w:jc w:val="both"/>
            </w:pPr>
            <w:r>
              <w:rPr/>
              <w:t>根据投标人对招标文件“第五章招标内容及要求”中的二、技术和服务要求的响应情况进行评分：完全满足“▲3.4.10控制器上应有LCD显示屏，可以监控各个机器人的工作状态和控制器内部的工作状态，包括温度、各部份供电电压等等，方便设备问题的诊断。（提供控制器产品照片予以佐证）得3分，未提供或提供的相关证明材料不符合要求不得分。</w:t>
            </w:r>
          </w:p>
        </w:tc>
      </w:tr>
      <w:tr>
        <w:tc>
          <w:tcPr>
            <w:tcW w:type="dxa" w:w="3322"/>
          </w:tcPr>
          <w:p>
            <w:pPr>
              <w:pStyle w:val="null3"/>
              <w:jc w:val="both"/>
            </w:pPr>
            <w:r>
              <w:rPr/>
              <w:t>1-7</w:t>
            </w:r>
          </w:p>
        </w:tc>
        <w:tc>
          <w:tcPr>
            <w:tcW w:type="dxa" w:w="831"/>
          </w:tcPr>
          <w:p>
            <w:pPr>
              <w:pStyle w:val="null3"/>
              <w:jc w:val="right"/>
            </w:pPr>
            <w:r>
              <w:rPr/>
              <w:t>32.00</w:t>
            </w:r>
          </w:p>
        </w:tc>
        <w:tc>
          <w:tcPr>
            <w:tcW w:type="dxa" w:w="4153"/>
          </w:tcPr>
          <w:p>
            <w:pPr>
              <w:pStyle w:val="null3"/>
              <w:jc w:val="both"/>
            </w:pPr>
            <w:r>
              <w:rPr/>
              <w:t>根据投标人对招标文件“第五章招标内容及要求”中的二、技术和服务要求的响应情况进行评分（除“▲”号条款以外技术参数条款响应情况进行评分）： ①其中“1、符合标准”，完全响应得1.5分，负偏离不得分； ②“2、工作条件（设备使用环境）”，完全响应得0.6分，负偏离不得分； ③“3、设备配置技术要求”共计46小项，完全响应得29.9分，每负偏离一项扣0.65分。 “★”号条款为实质性条款，投标人须完全满足并按照要求提供相关佐证材料（若有），否则视为未实质性响应。</w:t>
            </w:r>
          </w:p>
        </w:tc>
      </w:tr>
    </w:tbl>
    <w:p>
      <w:pPr>
        <w:pStyle w:val="null3"/>
        <w:jc w:val="both"/>
      </w:pPr>
      <w:r>
        <w:rPr/>
        <w:t>商务项（F3×A3）满分为15.00分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2-1</w:t>
            </w:r>
          </w:p>
        </w:tc>
        <w:tc>
          <w:tcPr>
            <w:tcW w:type="dxa" w:w="831"/>
          </w:tcPr>
          <w:p>
            <w:pPr>
              <w:pStyle w:val="null3"/>
              <w:jc w:val="right"/>
            </w:pPr>
            <w:r>
              <w:rPr/>
              <w:t>1.00</w:t>
            </w:r>
          </w:p>
        </w:tc>
        <w:tc>
          <w:tcPr>
            <w:tcW w:type="dxa" w:w="4153"/>
          </w:tcPr>
          <w:p>
            <w:pPr>
              <w:pStyle w:val="null3"/>
              <w:jc w:val="both"/>
            </w:pPr>
            <w:r>
              <w:rPr/>
              <w:t>投标人或制造商具有【质量管理体系认证】证书，证书应在全国认证认可信息公共服务平台可查询，且在提交投标文件时证书应处于有效状态，投标人需提供证书扫描件，若未提供扫描件，也可提供全国认证认可信息公共服务平台（http://cx.cnca.cn/CertECloud/index/index/page）的证书信息查询截图。完全满足上述要求的得1分，否则不得分。</w:t>
            </w:r>
          </w:p>
        </w:tc>
      </w:tr>
      <w:tr>
        <w:tc>
          <w:tcPr>
            <w:tcW w:type="dxa" w:w="3322"/>
          </w:tcPr>
          <w:p>
            <w:pPr>
              <w:pStyle w:val="null3"/>
              <w:jc w:val="both"/>
            </w:pPr>
            <w:r>
              <w:rPr/>
              <w:t>2-2</w:t>
            </w:r>
          </w:p>
        </w:tc>
        <w:tc>
          <w:tcPr>
            <w:tcW w:type="dxa" w:w="831"/>
          </w:tcPr>
          <w:p>
            <w:pPr>
              <w:pStyle w:val="null3"/>
              <w:jc w:val="right"/>
            </w:pPr>
            <w:r>
              <w:rPr/>
              <w:t>3.00</w:t>
            </w:r>
          </w:p>
        </w:tc>
        <w:tc>
          <w:tcPr>
            <w:tcW w:type="dxa" w:w="4153"/>
          </w:tcPr>
          <w:p>
            <w:pPr>
              <w:pStyle w:val="null3"/>
              <w:jc w:val="both"/>
            </w:pPr>
            <w:r>
              <w:rPr/>
              <w:t>根据投标人针对本项目所提供的培训方案进行评价：培训方案应至少包括①培训时间、地点及培训讲师（至少2人）的资历；②培训的主要内容（至少包含使用及日常维护内容）；③预期培训效果。以上内容每完整响应1项得1分，满分3分。未提供培训方案或所提供的培训方案内容不符合本项目要求的不得分。</w:t>
            </w:r>
          </w:p>
        </w:tc>
      </w:tr>
      <w:tr>
        <w:tc>
          <w:tcPr>
            <w:tcW w:type="dxa" w:w="3322"/>
          </w:tcPr>
          <w:p>
            <w:pPr>
              <w:pStyle w:val="null3"/>
              <w:jc w:val="both"/>
            </w:pPr>
            <w:r>
              <w:rPr/>
              <w:t>2-3</w:t>
            </w:r>
          </w:p>
        </w:tc>
        <w:tc>
          <w:tcPr>
            <w:tcW w:type="dxa" w:w="831"/>
          </w:tcPr>
          <w:p>
            <w:pPr>
              <w:pStyle w:val="null3"/>
              <w:jc w:val="right"/>
            </w:pPr>
            <w:r>
              <w:rPr/>
              <w:t>3.00</w:t>
            </w:r>
          </w:p>
        </w:tc>
        <w:tc>
          <w:tcPr>
            <w:tcW w:type="dxa" w:w="4153"/>
          </w:tcPr>
          <w:p>
            <w:pPr>
              <w:pStyle w:val="null3"/>
              <w:jc w:val="both"/>
            </w:pPr>
            <w:r>
              <w:rPr/>
              <w:t>根据投标人或制造商自2020年1月1日(以合同签订时间为准)以来承接过同类新能源车滑板底盘测试系统采购项目的有效业绩进行评价：每提供1个有效业绩得1分，满分3分。说明：投标人须提供该业绩项目以下资料有效复印件：(1)中标（成交）公告(须提供相关网站中标或成交公告的下载网页及其网址)；(2)中标（成交）通知书；(3)采购合同文本；(4)能够证明该业绩项目已经采购人验收合格的证明材料。如未按照以上要求提供该项目业绩完整资料的，评标委员会对该项业绩将不予采信。</w:t>
            </w:r>
          </w:p>
        </w:tc>
      </w:tr>
      <w:tr>
        <w:tc>
          <w:tcPr>
            <w:tcW w:type="dxa" w:w="3322"/>
          </w:tcPr>
          <w:p>
            <w:pPr>
              <w:pStyle w:val="null3"/>
              <w:jc w:val="both"/>
            </w:pPr>
            <w:r>
              <w:rPr/>
              <w:t>2-4</w:t>
            </w:r>
          </w:p>
        </w:tc>
        <w:tc>
          <w:tcPr>
            <w:tcW w:type="dxa" w:w="831"/>
          </w:tcPr>
          <w:p>
            <w:pPr>
              <w:pStyle w:val="null3"/>
              <w:jc w:val="right"/>
            </w:pPr>
            <w:r>
              <w:rPr/>
              <w:t>3.00</w:t>
            </w:r>
          </w:p>
        </w:tc>
        <w:tc>
          <w:tcPr>
            <w:tcW w:type="dxa" w:w="4153"/>
          </w:tcPr>
          <w:p>
            <w:pPr>
              <w:pStyle w:val="null3"/>
              <w:jc w:val="both"/>
            </w:pPr>
            <w:r>
              <w:rPr/>
              <w:t>根据投标人针对本项目所提供的售后服务方案进行评价：方案应至少包括①质保期内设备维护保养计划，内容至少包含维护保养频次（每年至少1次）、维护保养时间、维护人员情况、保养内容、服务效果等；②质保期满后，关键零部件的成本费用清单。③承诺质保期内维护保养频次2次/年及以上及质保期满后关键零部件成本折扣低于8折。以上内容每完整响应1项得1分，满分3分。未提供方案或方案内容不齐全的不得分。</w:t>
            </w:r>
          </w:p>
        </w:tc>
      </w:tr>
      <w:tr>
        <w:tc>
          <w:tcPr>
            <w:tcW w:type="dxa" w:w="3322"/>
          </w:tcPr>
          <w:p>
            <w:pPr>
              <w:pStyle w:val="null3"/>
              <w:jc w:val="both"/>
            </w:pPr>
            <w:r>
              <w:rPr/>
              <w:t>2-5</w:t>
            </w:r>
          </w:p>
        </w:tc>
        <w:tc>
          <w:tcPr>
            <w:tcW w:type="dxa" w:w="831"/>
          </w:tcPr>
          <w:p>
            <w:pPr>
              <w:pStyle w:val="null3"/>
              <w:jc w:val="right"/>
            </w:pPr>
            <w:r>
              <w:rPr/>
              <w:t>3.00</w:t>
            </w:r>
          </w:p>
        </w:tc>
        <w:tc>
          <w:tcPr>
            <w:tcW w:type="dxa" w:w="4153"/>
          </w:tcPr>
          <w:p>
            <w:pPr>
              <w:pStyle w:val="null3"/>
              <w:jc w:val="both"/>
            </w:pPr>
            <w:r>
              <w:rPr/>
              <w:t>根据投标人的响应速度进行评价：投标人承诺接到故障电话后，1小时内电话响应，4小时内到达，12小时内修复，得3分；1小时内电话响应，8小时内到达，24小时内修复，得1.5分；其他情况不得分。</w:t>
            </w:r>
          </w:p>
        </w:tc>
      </w:tr>
      <w:tr>
        <w:tc>
          <w:tcPr>
            <w:tcW w:type="dxa" w:w="3322"/>
          </w:tcPr>
          <w:p>
            <w:pPr>
              <w:pStyle w:val="null3"/>
              <w:jc w:val="both"/>
            </w:pPr>
            <w:r>
              <w:rPr/>
              <w:t>2-6</w:t>
            </w:r>
          </w:p>
        </w:tc>
        <w:tc>
          <w:tcPr>
            <w:tcW w:type="dxa" w:w="831"/>
          </w:tcPr>
          <w:p>
            <w:pPr>
              <w:pStyle w:val="null3"/>
              <w:jc w:val="right"/>
            </w:pPr>
            <w:r>
              <w:rPr/>
              <w:t>2.00</w:t>
            </w:r>
          </w:p>
        </w:tc>
        <w:tc>
          <w:tcPr>
            <w:tcW w:type="dxa" w:w="4153"/>
          </w:tcPr>
          <w:p>
            <w:pPr>
              <w:pStyle w:val="null3"/>
              <w:jc w:val="both"/>
            </w:pPr>
            <w:r>
              <w:rPr/>
              <w:t>根据投标人承诺的整体质保期限进行评价：在满足招标文件的基础上，每延长半年得1分，满分2分。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b/>
          <w:sz w:val="36"/>
        </w:rPr>
        <w:t>第五章 招标内容及要求</w:t>
      </w:r>
    </w:p>
    <w:p>
      <w:pPr>
        <w:pStyle w:val="null3"/>
        <w:jc w:val="both"/>
        <w:outlineLvl w:val="2"/>
      </w:pPr>
      <w:r>
        <w:rPr>
          <w:b/>
          <w:sz w:val="28"/>
        </w:rPr>
        <w:t>一、项目概况（采购标的）</w:t>
      </w:r>
    </w:p>
    <w:p>
      <w:pPr>
        <w:pStyle w:val="null3"/>
        <w:ind w:firstLine="480"/>
        <w:jc w:val="both"/>
      </w:pPr>
      <w:r>
        <w:rPr>
          <w:rFonts w:ascii="宋体" w:hAnsi="宋体" w:cs="宋体" w:eastAsia="宋体"/>
          <w:sz w:val="24"/>
        </w:rPr>
        <w:t>新能源滑板底盘测试系统精确地施入力</w:t>
      </w:r>
      <w:r>
        <w:rPr>
          <w:rFonts w:ascii="宋体" w:hAnsi="宋体" w:cs="宋体" w:eastAsia="宋体"/>
          <w:sz w:val="24"/>
        </w:rPr>
        <w:t>/力矩给底盘制动、油门、转向装置，实现车辆底盘速度、加速度特性的测量和控制。试验车辆通过新能源滑板底盘测试系统，能实现与智能驾驶高速目标大型运载平台车、智能驾驶小型目标物运载平台车的多目标混合同步，实现多车，行人，自行车，踏板车的混合同步试验场景；各无人驾驶移动底盘、乘用类试验车、商用类试验车在底盘测试控制下，能够形成闭环随动的高动态同步控制。</w:t>
      </w:r>
    </w:p>
    <w:p>
      <w:pPr>
        <w:pStyle w:val="null3"/>
        <w:ind w:firstLine="480"/>
        <w:jc w:val="both"/>
      </w:pPr>
      <w:r>
        <w:rPr>
          <w:rFonts w:ascii="宋体" w:hAnsi="宋体" w:cs="宋体" w:eastAsia="宋体"/>
          <w:sz w:val="24"/>
        </w:rPr>
        <w:t>新能源滑板底盘测试系统安装于被测新能源汽车底盘，用于智能驾驶标准法规试验项目测试验证、底盘智驾系统开发测试及重卡、</w:t>
      </w:r>
      <w:r>
        <w:rPr>
          <w:rFonts w:ascii="宋体" w:hAnsi="宋体" w:cs="宋体" w:eastAsia="宋体"/>
          <w:sz w:val="24"/>
        </w:rPr>
        <w:t>LCV、客车、轻卡等车型L2、L3、L4级别自动驾驶功能开发过程中的智驾功能道路测试，使测试可以快速的、精确、高重复性进行，并获得高质量的客观测试数据，满足中国、欧盟、美国等法规及标准的测试要求。</w:t>
      </w:r>
    </w:p>
    <w:p>
      <w:pPr>
        <w:pStyle w:val="null3"/>
        <w:ind w:firstLine="480"/>
        <w:jc w:val="both"/>
      </w:pPr>
      <w:r>
        <w:rPr>
          <w:rFonts w:ascii="宋体" w:hAnsi="宋体" w:cs="宋体" w:eastAsia="宋体"/>
          <w:sz w:val="24"/>
        </w:rPr>
        <w:t>设备支持法规及项目需求的各类封闭道路测试项目，支持</w:t>
      </w:r>
      <w:r>
        <w:rPr>
          <w:rFonts w:ascii="宋体" w:hAnsi="宋体" w:cs="宋体" w:eastAsia="宋体"/>
          <w:sz w:val="24"/>
        </w:rPr>
        <w:t>V2X通讯测试，并能配合智能驾驶高速目标大型运载平台车、智能驾驶小型目标物运载平台车、组合惯性导航系统等，完成主动安全法规规定的相关测试</w:t>
      </w:r>
      <w:r>
        <w:rPr>
          <w:rFonts w:ascii="宋体" w:hAnsi="宋体" w:cs="宋体" w:eastAsia="宋体"/>
          <w:sz w:val="24"/>
        </w:rPr>
        <w:t>。</w:t>
      </w:r>
    </w:p>
    <w:p>
      <w:pPr>
        <w:pStyle w:val="null3"/>
        <w:ind w:firstLine="482"/>
        <w:jc w:val="both"/>
      </w:pPr>
      <w:r>
        <w:rPr>
          <w:rFonts w:ascii="宋体" w:hAnsi="宋体" w:cs="宋体" w:eastAsia="宋体"/>
          <w:b/>
          <w:sz w:val="24"/>
        </w:rPr>
        <w:t>（一）设备名称及数量：</w:t>
      </w:r>
      <w:r>
        <w:rPr>
          <w:rFonts w:ascii="宋体" w:hAnsi="宋体" w:cs="宋体" w:eastAsia="宋体"/>
          <w:b/>
          <w:sz w:val="24"/>
        </w:rPr>
        <w:t>新能源车滑板底盘测试系统</w:t>
      </w:r>
      <w:r>
        <w:rPr>
          <w:b/>
        </w:rPr>
        <w:t xml:space="preserve">  </w:t>
      </w:r>
      <w:r>
        <w:rPr>
          <w:rFonts w:ascii="宋体" w:hAnsi="宋体" w:cs="宋体" w:eastAsia="宋体"/>
          <w:sz w:val="24"/>
        </w:rPr>
        <w:t>一套</w:t>
      </w:r>
    </w:p>
    <w:p>
      <w:pPr>
        <w:pStyle w:val="null3"/>
        <w:ind w:firstLine="482"/>
        <w:jc w:val="both"/>
      </w:pPr>
      <w:r>
        <w:rPr>
          <w:rFonts w:ascii="宋体" w:hAnsi="宋体" w:cs="宋体" w:eastAsia="宋体"/>
          <w:b/>
          <w:sz w:val="24"/>
        </w:rPr>
        <w:t>（二</w:t>
      </w:r>
      <w:r>
        <w:rPr>
          <w:rFonts w:ascii="宋体" w:hAnsi="宋体" w:cs="宋体" w:eastAsia="宋体"/>
          <w:b/>
          <w:sz w:val="24"/>
        </w:rPr>
        <w:t>) 供货范围</w:t>
      </w:r>
    </w:p>
    <w:tbl>
      <w:tblPr>
        <w:tblW w:w="0" w:type="auto"/>
        <w:tblBorders>
          <w:top w:val="none" w:color="000000" w:sz="4"/>
          <w:left w:val="none" w:color="000000" w:sz="4"/>
          <w:bottom w:val="none" w:color="000000" w:sz="4"/>
          <w:right w:val="none" w:color="000000" w:sz="4"/>
          <w:insideH w:val="none"/>
          <w:insideV w:val="none"/>
        </w:tblBorders>
      </w:tblPr>
      <w:tblGrid>
        <w:gridCol w:w="1836"/>
        <w:gridCol w:w="3641"/>
        <w:gridCol w:w="1670"/>
        <w:gridCol w:w="1159"/>
      </w:tblGrid>
      <w:tr>
        <w:tc>
          <w:tcPr>
            <w:tcW w:type="dxa" w:w="183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b/>
                <w:sz w:val="24"/>
              </w:rPr>
              <w:t>序号</w:t>
            </w:r>
          </w:p>
        </w:tc>
        <w:tc>
          <w:tcPr>
            <w:tcW w:type="dxa" w:w="364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b/>
                <w:sz w:val="24"/>
              </w:rPr>
              <w:t>名称</w:t>
            </w:r>
          </w:p>
        </w:tc>
        <w:tc>
          <w:tcPr>
            <w:tcW w:type="dxa" w:w="167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b/>
                <w:sz w:val="24"/>
              </w:rPr>
              <w:t>数量</w:t>
            </w:r>
          </w:p>
        </w:tc>
        <w:tc>
          <w:tcPr>
            <w:tcW w:type="dxa" w:w="115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b/>
                <w:sz w:val="24"/>
              </w:rPr>
              <w:t>单位</w:t>
            </w:r>
          </w:p>
        </w:tc>
      </w:tr>
      <w:tr>
        <w:tc>
          <w:tcPr>
            <w:tcW w:type="dxa" w:w="1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p>
        </w:tc>
        <w:tc>
          <w:tcPr>
            <w:tcW w:type="dxa" w:w="3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新能源车滑板底盘测试系统</w:t>
            </w:r>
          </w:p>
        </w:tc>
        <w:tc>
          <w:tcPr>
            <w:tcW w:type="dxa" w:w="1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套</w:t>
            </w:r>
          </w:p>
        </w:tc>
      </w:tr>
    </w:tbl>
    <w:p>
      <w:pPr>
        <w:pStyle w:val="null3"/>
        <w:jc w:val="both"/>
      </w:pPr>
      <w:r>
        <w:rPr/>
        <w:t>（三）</w:t>
      </w:r>
      <w:r>
        <w:rPr>
          <w:rFonts w:ascii="宋体" w:hAnsi="宋体" w:cs="宋体" w:eastAsia="宋体"/>
          <w:b/>
          <w:sz w:val="24"/>
        </w:rPr>
        <w:t>总体要求</w:t>
      </w:r>
    </w:p>
    <w:p>
      <w:pPr>
        <w:pStyle w:val="null3"/>
        <w:ind w:firstLine="480"/>
        <w:jc w:val="both"/>
      </w:pPr>
      <w:r>
        <w:rPr>
          <w:rFonts w:ascii="宋体" w:hAnsi="宋体" w:cs="宋体" w:eastAsia="宋体"/>
          <w:sz w:val="24"/>
        </w:rPr>
        <w:t>（</w:t>
      </w:r>
      <w:r>
        <w:rPr>
          <w:rFonts w:ascii="宋体" w:hAnsi="宋体" w:cs="宋体" w:eastAsia="宋体"/>
          <w:sz w:val="24"/>
        </w:rPr>
        <w:t>1）</w:t>
      </w:r>
      <w:r>
        <w:rPr>
          <w:rFonts w:ascii="宋体" w:hAnsi="宋体" w:cs="宋体" w:eastAsia="宋体"/>
          <w:sz w:val="24"/>
        </w:rPr>
        <w:t>该系统应是一套全新的、未使用过的、功能完整，可正常运转的完整原装设备，包括每个详细构件或特殊部件及特殊功能。</w:t>
      </w:r>
    </w:p>
    <w:p>
      <w:pPr>
        <w:pStyle w:val="null3"/>
        <w:ind w:firstLine="480"/>
        <w:jc w:val="both"/>
      </w:pPr>
      <w:r>
        <w:rPr>
          <w:rFonts w:ascii="宋体" w:hAnsi="宋体" w:cs="宋体" w:eastAsia="宋体"/>
          <w:sz w:val="24"/>
        </w:rPr>
        <w:t>（</w:t>
      </w:r>
      <w:r>
        <w:rPr>
          <w:rFonts w:ascii="宋体" w:hAnsi="宋体" w:cs="宋体" w:eastAsia="宋体"/>
          <w:sz w:val="24"/>
        </w:rPr>
        <w:t>2）投标人</w:t>
      </w:r>
      <w:r>
        <w:rPr>
          <w:rFonts w:ascii="宋体" w:hAnsi="宋体" w:cs="宋体" w:eastAsia="宋体"/>
          <w:sz w:val="24"/>
        </w:rPr>
        <w:t>所提供的设备必须是具有完整功能的试验系统，</w:t>
      </w:r>
      <w:r>
        <w:rPr>
          <w:rFonts w:ascii="宋体" w:hAnsi="宋体" w:cs="宋体" w:eastAsia="宋体"/>
          <w:sz w:val="24"/>
        </w:rPr>
        <w:t>采购人</w:t>
      </w:r>
      <w:r>
        <w:rPr>
          <w:rFonts w:ascii="宋体" w:hAnsi="宋体" w:cs="宋体" w:eastAsia="宋体"/>
          <w:sz w:val="24"/>
        </w:rPr>
        <w:t>所要规定的设备需求仅包含主要设备，若有设备未在设备需求中列出，但属于该试验系统具备完整功能的必要设备，</w:t>
      </w:r>
      <w:r>
        <w:rPr>
          <w:rFonts w:ascii="宋体" w:hAnsi="宋体" w:cs="宋体" w:eastAsia="宋体"/>
          <w:sz w:val="24"/>
        </w:rPr>
        <w:t>投标人</w:t>
      </w:r>
      <w:r>
        <w:rPr>
          <w:rFonts w:ascii="宋体" w:hAnsi="宋体" w:cs="宋体" w:eastAsia="宋体"/>
          <w:sz w:val="24"/>
        </w:rPr>
        <w:t>必须免费供货。</w:t>
      </w:r>
    </w:p>
    <w:p>
      <w:pPr>
        <w:pStyle w:val="null3"/>
        <w:ind w:firstLine="480"/>
        <w:jc w:val="both"/>
      </w:pPr>
      <w:r>
        <w:rPr>
          <w:rFonts w:ascii="宋体" w:hAnsi="宋体" w:cs="宋体" w:eastAsia="宋体"/>
          <w:sz w:val="24"/>
        </w:rPr>
        <w:t>（</w:t>
      </w:r>
      <w:r>
        <w:rPr>
          <w:rFonts w:ascii="宋体" w:hAnsi="宋体" w:cs="宋体" w:eastAsia="宋体"/>
          <w:sz w:val="24"/>
        </w:rPr>
        <w:t>3）</w:t>
      </w:r>
      <w:r>
        <w:rPr>
          <w:rFonts w:ascii="宋体" w:hAnsi="宋体" w:cs="宋体" w:eastAsia="宋体"/>
          <w:sz w:val="24"/>
        </w:rPr>
        <w:t>该新能源滑板底盘测试系统要求与</w:t>
      </w:r>
      <w:r>
        <w:rPr>
          <w:rFonts w:ascii="宋体" w:hAnsi="宋体" w:cs="宋体" w:eastAsia="宋体"/>
          <w:sz w:val="24"/>
        </w:rPr>
        <w:t>ABD、Humanetics等国内外智能驾驶测试用移动运载平台车相匹配，应能兼容控制。</w:t>
      </w:r>
    </w:p>
    <w:p>
      <w:pPr>
        <w:pStyle w:val="null3"/>
        <w:ind w:firstLine="480"/>
        <w:jc w:val="both"/>
      </w:pPr>
      <w:r>
        <w:rPr>
          <w:rFonts w:ascii="宋体" w:hAnsi="宋体" w:cs="宋体" w:eastAsia="宋体"/>
          <w:sz w:val="24"/>
        </w:rPr>
        <w:t>★</w:t>
      </w:r>
      <w:r>
        <w:rPr>
          <w:rFonts w:ascii="宋体" w:hAnsi="宋体" w:cs="宋体" w:eastAsia="宋体"/>
          <w:sz w:val="24"/>
        </w:rPr>
        <w:t>（</w:t>
      </w:r>
      <w:r>
        <w:rPr>
          <w:rFonts w:ascii="宋体" w:hAnsi="宋体" w:cs="宋体" w:eastAsia="宋体"/>
          <w:sz w:val="24"/>
        </w:rPr>
        <w:t>4）</w:t>
      </w:r>
      <w:r>
        <w:rPr>
          <w:rFonts w:ascii="宋体" w:hAnsi="宋体" w:cs="宋体" w:eastAsia="宋体"/>
          <w:sz w:val="24"/>
        </w:rPr>
        <w:t>同步控制系统应能实现</w:t>
      </w:r>
      <w:r>
        <w:rPr>
          <w:rFonts w:ascii="宋体" w:hAnsi="宋体" w:cs="宋体" w:eastAsia="宋体"/>
          <w:sz w:val="24"/>
        </w:rPr>
        <w:t>至少</w:t>
      </w:r>
      <w:r>
        <w:rPr>
          <w:rFonts w:ascii="宋体" w:hAnsi="宋体" w:cs="宋体" w:eastAsia="宋体"/>
          <w:sz w:val="24"/>
        </w:rPr>
        <w:t>16个目标车同步联动测试。</w:t>
      </w:r>
      <w:r>
        <w:rPr>
          <w:rFonts w:ascii="宋体" w:hAnsi="宋体" w:cs="宋体" w:eastAsia="宋体"/>
          <w:b/>
          <w:sz w:val="24"/>
        </w:rPr>
        <w:t>（提供产品彩页</w:t>
      </w:r>
      <w:r>
        <w:rPr>
          <w:rFonts w:ascii="宋体" w:hAnsi="宋体" w:cs="宋体" w:eastAsia="宋体"/>
          <w:b/>
          <w:sz w:val="24"/>
        </w:rPr>
        <w:t>或技术方案</w:t>
      </w:r>
      <w:r>
        <w:rPr>
          <w:rFonts w:ascii="宋体" w:hAnsi="宋体" w:cs="宋体" w:eastAsia="宋体"/>
          <w:b/>
          <w:sz w:val="24"/>
        </w:rPr>
        <w:t>予以</w:t>
      </w:r>
      <w:r>
        <w:rPr>
          <w:rFonts w:ascii="宋体" w:hAnsi="宋体" w:cs="宋体" w:eastAsia="宋体"/>
          <w:b/>
          <w:sz w:val="24"/>
        </w:rPr>
        <w:t>佐证）</w:t>
      </w:r>
    </w:p>
    <w:p>
      <w:pPr>
        <w:pStyle w:val="null3"/>
        <w:ind w:firstLine="480"/>
        <w:jc w:val="both"/>
      </w:pPr>
      <w:r>
        <w:rPr>
          <w:rFonts w:ascii="宋体" w:hAnsi="宋体" w:cs="宋体" w:eastAsia="宋体"/>
          <w:sz w:val="24"/>
        </w:rPr>
        <w:t>（</w:t>
      </w:r>
      <w:r>
        <w:rPr>
          <w:rFonts w:ascii="宋体" w:hAnsi="宋体" w:cs="宋体" w:eastAsia="宋体"/>
          <w:sz w:val="24"/>
        </w:rPr>
        <w:t>5）</w:t>
      </w:r>
      <w:r>
        <w:rPr>
          <w:rFonts w:ascii="宋体" w:hAnsi="宋体" w:cs="宋体" w:eastAsia="宋体"/>
          <w:sz w:val="24"/>
        </w:rPr>
        <w:t>应配设备专用存放箱子，且方便移动、运输。</w:t>
      </w:r>
    </w:p>
    <w:p>
      <w:pPr>
        <w:pStyle w:val="null3"/>
        <w:jc w:val="both"/>
        <w:outlineLvl w:val="2"/>
      </w:pPr>
      <w:r>
        <w:rPr>
          <w:b/>
          <w:sz w:val="28"/>
        </w:rPr>
        <w:t>二、技术和服务要求（以“★”标示的内容为不允许负偏离的实质性要求）</w:t>
      </w:r>
    </w:p>
    <w:p>
      <w:pPr>
        <w:pStyle w:val="null3"/>
        <w:ind w:firstLine="480"/>
        <w:jc w:val="both"/>
      </w:pPr>
      <w:r>
        <w:rPr>
          <w:rFonts w:ascii="宋体" w:hAnsi="宋体" w:cs="宋体" w:eastAsia="宋体"/>
          <w:b/>
          <w:sz w:val="24"/>
        </w:rPr>
        <w:t>1、符合标准：</w:t>
      </w:r>
    </w:p>
    <w:p>
      <w:pPr>
        <w:pStyle w:val="null3"/>
        <w:ind w:firstLine="480"/>
      </w:pPr>
      <w:r>
        <w:rPr>
          <w:rFonts w:ascii="宋体" w:hAnsi="宋体" w:cs="宋体" w:eastAsia="宋体"/>
          <w:sz w:val="24"/>
        </w:rPr>
        <w:t>应遵循并满足的主要现行标准，包括但不限于以下标准（均以现行最新为准）：</w:t>
      </w:r>
    </w:p>
    <w:p>
      <w:pPr>
        <w:pStyle w:val="null3"/>
        <w:ind w:firstLine="480"/>
      </w:pPr>
      <w:r>
        <w:rPr>
          <w:rFonts w:ascii="宋体" w:hAnsi="宋体" w:cs="宋体" w:eastAsia="宋体"/>
          <w:sz w:val="24"/>
        </w:rPr>
        <w:t>设备应满足如下试验标准中的智能驾驶相关测试要求：</w:t>
      </w:r>
    </w:p>
    <w:p>
      <w:pPr>
        <w:pStyle w:val="null3"/>
        <w:ind w:firstLine="480"/>
      </w:pPr>
      <w:r>
        <w:rPr>
          <w:rFonts w:ascii="宋体" w:hAnsi="宋体" w:cs="宋体" w:eastAsia="宋体"/>
          <w:sz w:val="24"/>
        </w:rPr>
        <w:t>（</w:t>
      </w:r>
      <w:r>
        <w:rPr>
          <w:rFonts w:ascii="宋体" w:hAnsi="宋体" w:cs="宋体" w:eastAsia="宋体"/>
          <w:sz w:val="24"/>
        </w:rPr>
        <w:t>1）</w:t>
      </w:r>
      <w:r>
        <w:rPr>
          <w:rFonts w:ascii="宋体" w:hAnsi="宋体" w:cs="宋体" w:eastAsia="宋体"/>
          <w:sz w:val="24"/>
        </w:rPr>
        <w:t>智能网联汽车自动驾驶功能测试规程（试行）</w:t>
      </w:r>
    </w:p>
    <w:p>
      <w:pPr>
        <w:pStyle w:val="null3"/>
        <w:ind w:firstLine="480"/>
      </w:pPr>
      <w:r>
        <w:rPr>
          <w:rFonts w:ascii="宋体" w:hAnsi="宋体" w:cs="宋体" w:eastAsia="宋体"/>
          <w:sz w:val="24"/>
        </w:rPr>
        <w:t>（</w:t>
      </w:r>
      <w:r>
        <w:rPr>
          <w:rFonts w:ascii="宋体" w:hAnsi="宋体" w:cs="宋体" w:eastAsia="宋体"/>
          <w:sz w:val="24"/>
        </w:rPr>
        <w:t>2）</w:t>
      </w:r>
      <w:r>
        <w:rPr>
          <w:rFonts w:ascii="宋体" w:hAnsi="宋体" w:cs="宋体" w:eastAsia="宋体"/>
          <w:sz w:val="24"/>
        </w:rPr>
        <w:t>GB/T 20608-2006 智能运输系统 自适应巡航控制系统 性能要求与检测方法</w:t>
      </w:r>
    </w:p>
    <w:p>
      <w:pPr>
        <w:pStyle w:val="null3"/>
        <w:ind w:firstLine="480"/>
      </w:pPr>
      <w:r>
        <w:rPr>
          <w:rFonts w:ascii="宋体" w:hAnsi="宋体" w:cs="宋体" w:eastAsia="宋体"/>
          <w:sz w:val="24"/>
        </w:rPr>
        <w:t>（</w:t>
      </w:r>
      <w:r>
        <w:rPr>
          <w:rFonts w:ascii="宋体" w:hAnsi="宋体" w:cs="宋体" w:eastAsia="宋体"/>
          <w:sz w:val="24"/>
        </w:rPr>
        <w:t>3）</w:t>
      </w:r>
      <w:r>
        <w:rPr>
          <w:rFonts w:ascii="宋体" w:hAnsi="宋体" w:cs="宋体" w:eastAsia="宋体"/>
          <w:sz w:val="24"/>
        </w:rPr>
        <w:t>GB/T 26773-2011 智能运输系统 车道偏离报警系统 性能要求与检测方法</w:t>
      </w:r>
    </w:p>
    <w:p>
      <w:pPr>
        <w:pStyle w:val="null3"/>
        <w:ind w:firstLine="480"/>
      </w:pPr>
      <w:r>
        <w:rPr>
          <w:rFonts w:ascii="宋体" w:hAnsi="宋体" w:cs="宋体" w:eastAsia="宋体"/>
          <w:sz w:val="24"/>
        </w:rPr>
        <w:t>（</w:t>
      </w:r>
      <w:r>
        <w:rPr>
          <w:rFonts w:ascii="宋体" w:hAnsi="宋体" w:cs="宋体" w:eastAsia="宋体"/>
          <w:sz w:val="24"/>
        </w:rPr>
        <w:t>4）</w:t>
      </w:r>
      <w:r>
        <w:rPr>
          <w:rFonts w:ascii="宋体" w:hAnsi="宋体" w:cs="宋体" w:eastAsia="宋体"/>
          <w:sz w:val="24"/>
        </w:rPr>
        <w:t>GB/T 33577-2017 智能运输系统 车辆前向碰撞预警系统 性能要求和测试规程</w:t>
      </w:r>
    </w:p>
    <w:p>
      <w:pPr>
        <w:pStyle w:val="null3"/>
        <w:ind w:firstLine="480"/>
      </w:pPr>
      <w:r>
        <w:rPr>
          <w:rFonts w:ascii="宋体" w:hAnsi="宋体" w:cs="宋体" w:eastAsia="宋体"/>
          <w:sz w:val="24"/>
        </w:rPr>
        <w:t>（</w:t>
      </w:r>
      <w:r>
        <w:rPr>
          <w:rFonts w:ascii="宋体" w:hAnsi="宋体" w:cs="宋体" w:eastAsia="宋体"/>
          <w:sz w:val="24"/>
        </w:rPr>
        <w:t>5）</w:t>
      </w:r>
      <w:r>
        <w:rPr>
          <w:rFonts w:ascii="宋体" w:hAnsi="宋体" w:cs="宋体" w:eastAsia="宋体"/>
          <w:sz w:val="24"/>
        </w:rPr>
        <w:t>GB/T 37436-2019 智能运输系统 扩展型倒车辅助系统性能要求与检测方法</w:t>
      </w:r>
    </w:p>
    <w:p>
      <w:pPr>
        <w:pStyle w:val="null3"/>
        <w:ind w:firstLine="480"/>
      </w:pPr>
      <w:r>
        <w:rPr>
          <w:rFonts w:ascii="宋体" w:hAnsi="宋体" w:cs="宋体" w:eastAsia="宋体"/>
          <w:sz w:val="24"/>
        </w:rPr>
        <w:t>（</w:t>
      </w:r>
      <w:r>
        <w:rPr>
          <w:rFonts w:ascii="宋体" w:hAnsi="宋体" w:cs="宋体" w:eastAsia="宋体"/>
          <w:sz w:val="24"/>
        </w:rPr>
        <w:t>6）</w:t>
      </w:r>
      <w:r>
        <w:rPr>
          <w:rFonts w:ascii="宋体" w:hAnsi="宋体" w:cs="宋体" w:eastAsia="宋体"/>
          <w:sz w:val="24"/>
        </w:rPr>
        <w:t>GB/T 37471-2019 智能运输系统 换道决策辅助系统性能要求与检测方法</w:t>
      </w:r>
    </w:p>
    <w:p>
      <w:pPr>
        <w:pStyle w:val="null3"/>
        <w:ind w:firstLine="480"/>
      </w:pPr>
      <w:r>
        <w:rPr>
          <w:rFonts w:ascii="宋体" w:hAnsi="宋体" w:cs="宋体" w:eastAsia="宋体"/>
          <w:sz w:val="24"/>
        </w:rPr>
        <w:t>（</w:t>
      </w:r>
      <w:r>
        <w:rPr>
          <w:rFonts w:ascii="宋体" w:hAnsi="宋体" w:cs="宋体" w:eastAsia="宋体"/>
          <w:sz w:val="24"/>
        </w:rPr>
        <w:t>7）</w:t>
      </w:r>
      <w:r>
        <w:rPr>
          <w:rFonts w:ascii="宋体" w:hAnsi="宋体" w:cs="宋体" w:eastAsia="宋体"/>
          <w:sz w:val="24"/>
        </w:rPr>
        <w:t>GB/T 38186-2019 商用车辆自动紧急制动系统(AEBS)性能要求及试验方法</w:t>
      </w:r>
    </w:p>
    <w:p>
      <w:pPr>
        <w:pStyle w:val="null3"/>
        <w:ind w:firstLine="480"/>
      </w:pPr>
      <w:r>
        <w:rPr>
          <w:rFonts w:ascii="宋体" w:hAnsi="宋体" w:cs="宋体" w:eastAsia="宋体"/>
          <w:sz w:val="24"/>
        </w:rPr>
        <w:t>（</w:t>
      </w:r>
      <w:r>
        <w:rPr>
          <w:rFonts w:ascii="宋体" w:hAnsi="宋体" w:cs="宋体" w:eastAsia="宋体"/>
          <w:sz w:val="24"/>
        </w:rPr>
        <w:t>8）</w:t>
      </w:r>
      <w:r>
        <w:rPr>
          <w:rFonts w:ascii="宋体" w:hAnsi="宋体" w:cs="宋体" w:eastAsia="宋体"/>
          <w:sz w:val="24"/>
        </w:rPr>
        <w:t>GB/T 39265-2020 道路车辆 盲区监测(BSD)系统性能要求及试验方法</w:t>
      </w:r>
    </w:p>
    <w:p>
      <w:pPr>
        <w:pStyle w:val="null3"/>
        <w:ind w:firstLine="480"/>
      </w:pPr>
      <w:r>
        <w:rPr>
          <w:rFonts w:ascii="宋体" w:hAnsi="宋体" w:cs="宋体" w:eastAsia="宋体"/>
          <w:sz w:val="24"/>
        </w:rPr>
        <w:t>（</w:t>
      </w:r>
      <w:r>
        <w:rPr>
          <w:rFonts w:ascii="宋体" w:hAnsi="宋体" w:cs="宋体" w:eastAsia="宋体"/>
          <w:sz w:val="24"/>
        </w:rPr>
        <w:t>9）</w:t>
      </w:r>
      <w:r>
        <w:rPr>
          <w:rFonts w:ascii="宋体" w:hAnsi="宋体" w:cs="宋体" w:eastAsia="宋体"/>
          <w:sz w:val="24"/>
        </w:rPr>
        <w:t>GB/T 39323-2020 乘用车车道保持辅助(LKA)系统性能要求及试验方法</w:t>
      </w:r>
    </w:p>
    <w:p>
      <w:pPr>
        <w:pStyle w:val="null3"/>
        <w:ind w:firstLine="480"/>
      </w:pPr>
      <w:r>
        <w:rPr>
          <w:rFonts w:ascii="宋体" w:hAnsi="宋体" w:cs="宋体" w:eastAsia="宋体"/>
          <w:sz w:val="24"/>
        </w:rPr>
        <w:t>（</w:t>
      </w:r>
      <w:r>
        <w:rPr>
          <w:rFonts w:ascii="宋体" w:hAnsi="宋体" w:cs="宋体" w:eastAsia="宋体"/>
          <w:sz w:val="24"/>
        </w:rPr>
        <w:t>10）</w:t>
      </w:r>
      <w:r>
        <w:rPr>
          <w:rFonts w:ascii="宋体" w:hAnsi="宋体" w:cs="宋体" w:eastAsia="宋体"/>
          <w:sz w:val="24"/>
        </w:rPr>
        <w:t>GB 21670-2008乘用车制动系统技术要求及试验方法</w:t>
      </w:r>
    </w:p>
    <w:p>
      <w:pPr>
        <w:pStyle w:val="null3"/>
        <w:ind w:firstLine="480"/>
      </w:pPr>
      <w:r>
        <w:rPr>
          <w:rFonts w:ascii="宋体" w:hAnsi="宋体" w:cs="宋体" w:eastAsia="宋体"/>
          <w:sz w:val="24"/>
        </w:rPr>
        <w:t>（</w:t>
      </w:r>
      <w:r>
        <w:rPr>
          <w:rFonts w:ascii="宋体" w:hAnsi="宋体" w:cs="宋体" w:eastAsia="宋体"/>
          <w:sz w:val="24"/>
        </w:rPr>
        <w:t>11）</w:t>
      </w:r>
      <w:r>
        <w:rPr>
          <w:rFonts w:ascii="宋体" w:hAnsi="宋体" w:cs="宋体" w:eastAsia="宋体"/>
          <w:sz w:val="24"/>
        </w:rPr>
        <w:t>GB 12676-2014 商用车辆和挂车的技术要求</w:t>
      </w:r>
    </w:p>
    <w:p>
      <w:pPr>
        <w:pStyle w:val="null3"/>
        <w:ind w:firstLine="480"/>
      </w:pPr>
      <w:r>
        <w:rPr>
          <w:rFonts w:ascii="宋体" w:hAnsi="宋体" w:cs="宋体" w:eastAsia="宋体"/>
          <w:sz w:val="24"/>
        </w:rPr>
        <w:t>（</w:t>
      </w:r>
      <w:r>
        <w:rPr>
          <w:rFonts w:ascii="宋体" w:hAnsi="宋体" w:cs="宋体" w:eastAsia="宋体"/>
          <w:sz w:val="24"/>
        </w:rPr>
        <w:t>12）</w:t>
      </w:r>
      <w:r>
        <w:rPr>
          <w:rFonts w:ascii="宋体" w:hAnsi="宋体" w:cs="宋体" w:eastAsia="宋体"/>
          <w:sz w:val="24"/>
        </w:rPr>
        <w:t>JT/T 1242-2019 营运车辆自动紧急制动系统性能要求和测试规程</w:t>
      </w:r>
    </w:p>
    <w:p>
      <w:pPr>
        <w:pStyle w:val="null3"/>
        <w:ind w:firstLine="480"/>
      </w:pPr>
      <w:r>
        <w:rPr>
          <w:rFonts w:ascii="宋体" w:hAnsi="宋体" w:cs="宋体" w:eastAsia="宋体"/>
          <w:sz w:val="24"/>
        </w:rPr>
        <w:t>（</w:t>
      </w:r>
      <w:r>
        <w:rPr>
          <w:rFonts w:ascii="宋体" w:hAnsi="宋体" w:cs="宋体" w:eastAsia="宋体"/>
          <w:sz w:val="24"/>
        </w:rPr>
        <w:t>13）</w:t>
      </w:r>
      <w:r>
        <w:rPr>
          <w:rFonts w:ascii="宋体" w:hAnsi="宋体" w:cs="宋体" w:eastAsia="宋体"/>
          <w:sz w:val="24"/>
        </w:rPr>
        <w:t>GB/T 41798—2022《智能网联汽车 自动驾驶功能场地试验方法及要求</w:t>
      </w:r>
    </w:p>
    <w:p>
      <w:pPr>
        <w:pStyle w:val="null3"/>
        <w:ind w:firstLine="480"/>
      </w:pPr>
      <w:r>
        <w:rPr>
          <w:rFonts w:ascii="宋体" w:hAnsi="宋体" w:cs="宋体" w:eastAsia="宋体"/>
          <w:sz w:val="24"/>
        </w:rPr>
        <w:t>（</w:t>
      </w:r>
      <w:r>
        <w:rPr>
          <w:rFonts w:ascii="宋体" w:hAnsi="宋体" w:cs="宋体" w:eastAsia="宋体"/>
          <w:sz w:val="24"/>
        </w:rPr>
        <w:t>14）</w:t>
      </w:r>
      <w:r>
        <w:rPr>
          <w:rFonts w:ascii="宋体" w:hAnsi="宋体" w:cs="宋体" w:eastAsia="宋体"/>
          <w:sz w:val="24"/>
        </w:rPr>
        <w:t>JT/T 883-2014营运车辆行驶危险预警系统技术要求和试验方法</w:t>
      </w:r>
    </w:p>
    <w:p>
      <w:pPr>
        <w:pStyle w:val="null3"/>
        <w:ind w:firstLine="480"/>
      </w:pPr>
      <w:r>
        <w:rPr>
          <w:rFonts w:ascii="宋体" w:hAnsi="宋体" w:cs="宋体" w:eastAsia="宋体"/>
          <w:sz w:val="24"/>
        </w:rPr>
        <w:t>（</w:t>
      </w:r>
      <w:r>
        <w:rPr>
          <w:rFonts w:ascii="宋体" w:hAnsi="宋体" w:cs="宋体" w:eastAsia="宋体"/>
          <w:sz w:val="24"/>
        </w:rPr>
        <w:t>15）</w:t>
      </w:r>
      <w:r>
        <w:rPr>
          <w:rFonts w:ascii="宋体" w:hAnsi="宋体" w:cs="宋体" w:eastAsia="宋体"/>
          <w:sz w:val="24"/>
        </w:rPr>
        <w:t>CSAE 53-2020 合作式智能运输系统 车用通信系统 应用层及应用数据交互标准（第一阶段）</w:t>
      </w:r>
    </w:p>
    <w:p>
      <w:pPr>
        <w:pStyle w:val="null3"/>
        <w:ind w:firstLine="480"/>
      </w:pPr>
      <w:r>
        <w:rPr>
          <w:rFonts w:ascii="宋体" w:hAnsi="宋体" w:cs="宋体" w:eastAsia="宋体"/>
          <w:sz w:val="24"/>
        </w:rPr>
        <w:t>（</w:t>
      </w:r>
      <w:r>
        <w:rPr>
          <w:rFonts w:ascii="宋体" w:hAnsi="宋体" w:cs="宋体" w:eastAsia="宋体"/>
          <w:sz w:val="24"/>
        </w:rPr>
        <w:t>16）</w:t>
      </w:r>
      <w:r>
        <w:rPr>
          <w:rFonts w:ascii="宋体" w:hAnsi="宋体" w:cs="宋体" w:eastAsia="宋体"/>
          <w:sz w:val="24"/>
        </w:rPr>
        <w:t>CSAE 157-2020 合作式智能运输系统 车用通信系统应用层及应用数据交互标准（第二阶段）</w:t>
      </w:r>
    </w:p>
    <w:p>
      <w:pPr>
        <w:pStyle w:val="null3"/>
        <w:ind w:firstLine="480"/>
      </w:pPr>
      <w:r>
        <w:rPr>
          <w:rFonts w:ascii="宋体" w:hAnsi="宋体" w:cs="宋体" w:eastAsia="宋体"/>
          <w:sz w:val="24"/>
        </w:rPr>
        <w:t>（</w:t>
      </w:r>
      <w:r>
        <w:rPr>
          <w:rFonts w:ascii="宋体" w:hAnsi="宋体" w:cs="宋体" w:eastAsia="宋体"/>
          <w:sz w:val="24"/>
        </w:rPr>
        <w:t>17）</w:t>
      </w:r>
      <w:r>
        <w:rPr>
          <w:rFonts w:ascii="宋体" w:hAnsi="宋体" w:cs="宋体" w:eastAsia="宋体"/>
          <w:sz w:val="24"/>
        </w:rPr>
        <w:t>C-NCAP管理规则2021 附录C主动安全ADAS系统试验方法</w:t>
      </w:r>
    </w:p>
    <w:p>
      <w:pPr>
        <w:pStyle w:val="null3"/>
        <w:ind w:firstLine="480"/>
      </w:pPr>
      <w:r>
        <w:rPr>
          <w:rFonts w:ascii="宋体" w:hAnsi="宋体" w:cs="宋体" w:eastAsia="宋体"/>
          <w:sz w:val="24"/>
        </w:rPr>
        <w:t>（</w:t>
      </w:r>
      <w:r>
        <w:rPr>
          <w:rFonts w:ascii="宋体" w:hAnsi="宋体" w:cs="宋体" w:eastAsia="宋体"/>
          <w:sz w:val="24"/>
        </w:rPr>
        <w:t>18）</w:t>
      </w:r>
      <w:r>
        <w:rPr>
          <w:rFonts w:ascii="宋体" w:hAnsi="宋体" w:cs="宋体" w:eastAsia="宋体"/>
          <w:sz w:val="24"/>
        </w:rPr>
        <w:t>C-NCAP 管理规则（2021 年版）附录C主动安全 ADAS 系统试验方法</w:t>
      </w:r>
    </w:p>
    <w:p>
      <w:pPr>
        <w:pStyle w:val="null3"/>
        <w:ind w:firstLine="480"/>
      </w:pPr>
      <w:r>
        <w:rPr>
          <w:rFonts w:ascii="宋体" w:hAnsi="宋体" w:cs="宋体" w:eastAsia="宋体"/>
          <w:sz w:val="24"/>
        </w:rPr>
        <w:t>（</w:t>
      </w:r>
      <w:r>
        <w:rPr>
          <w:rFonts w:ascii="宋体" w:hAnsi="宋体" w:cs="宋体" w:eastAsia="宋体"/>
          <w:sz w:val="24"/>
        </w:rPr>
        <w:t>19）</w:t>
      </w:r>
      <w:r>
        <w:rPr>
          <w:rFonts w:ascii="宋体" w:hAnsi="宋体" w:cs="宋体" w:eastAsia="宋体"/>
          <w:sz w:val="24"/>
        </w:rPr>
        <w:t>EuroNCAP 2023:euro-ncap-aeb-lss-vru-test-protocol-v400</w:t>
      </w:r>
    </w:p>
    <w:p>
      <w:pPr>
        <w:pStyle w:val="null3"/>
        <w:ind w:firstLine="480"/>
      </w:pPr>
      <w:r>
        <w:rPr>
          <w:rFonts w:ascii="宋体" w:hAnsi="宋体" w:cs="宋体" w:eastAsia="宋体"/>
          <w:sz w:val="24"/>
        </w:rPr>
        <w:t>（</w:t>
      </w:r>
      <w:r>
        <w:rPr>
          <w:rFonts w:ascii="宋体" w:hAnsi="宋体" w:cs="宋体" w:eastAsia="宋体"/>
          <w:sz w:val="24"/>
        </w:rPr>
        <w:t>20）</w:t>
      </w:r>
      <w:r>
        <w:rPr>
          <w:rFonts w:ascii="宋体" w:hAnsi="宋体" w:cs="宋体" w:eastAsia="宋体"/>
          <w:sz w:val="24"/>
        </w:rPr>
        <w:t>EuroNCAP 2023:euro-ncap-aeb-c2c-test-protocol-v40</w:t>
      </w:r>
    </w:p>
    <w:p>
      <w:pPr>
        <w:pStyle w:val="null3"/>
        <w:ind w:firstLine="480"/>
      </w:pPr>
      <w:r>
        <w:rPr>
          <w:rFonts w:ascii="宋体" w:hAnsi="宋体" w:cs="宋体" w:eastAsia="宋体"/>
          <w:sz w:val="24"/>
        </w:rPr>
        <w:t>（</w:t>
      </w:r>
      <w:r>
        <w:rPr>
          <w:rFonts w:ascii="宋体" w:hAnsi="宋体" w:cs="宋体" w:eastAsia="宋体"/>
          <w:sz w:val="24"/>
        </w:rPr>
        <w:t>21）</w:t>
      </w:r>
      <w:r>
        <w:rPr>
          <w:rFonts w:ascii="宋体" w:hAnsi="宋体" w:cs="宋体" w:eastAsia="宋体"/>
          <w:sz w:val="24"/>
        </w:rPr>
        <w:t>I-VISTA 2020: Intelligent Safety AEB Car-to-Car System Test Protocol</w:t>
      </w:r>
    </w:p>
    <w:p>
      <w:pPr>
        <w:pStyle w:val="null3"/>
        <w:ind w:firstLine="482"/>
      </w:pPr>
      <w:r>
        <w:rPr>
          <w:rFonts w:ascii="宋体" w:hAnsi="宋体" w:cs="宋体" w:eastAsia="宋体"/>
          <w:b/>
          <w:sz w:val="24"/>
        </w:rPr>
        <w:t>2、工作条件（设备使用环境）</w:t>
      </w:r>
    </w:p>
    <w:p>
      <w:pPr>
        <w:pStyle w:val="null3"/>
        <w:ind w:firstLine="480"/>
      </w:pPr>
      <w:r>
        <w:rPr>
          <w:rFonts w:ascii="宋体" w:hAnsi="宋体" w:cs="宋体" w:eastAsia="宋体"/>
          <w:sz w:val="24"/>
        </w:rPr>
        <w:t>设备工作条件应不低于如下要求：</w:t>
      </w:r>
    </w:p>
    <w:p>
      <w:pPr>
        <w:pStyle w:val="null3"/>
        <w:ind w:firstLine="480"/>
      </w:pPr>
      <w:r>
        <w:rPr>
          <w:rFonts w:ascii="宋体" w:hAnsi="宋体" w:cs="宋体" w:eastAsia="宋体"/>
          <w:sz w:val="24"/>
        </w:rPr>
        <w:t>（</w:t>
      </w:r>
      <w:r>
        <w:rPr>
          <w:rFonts w:ascii="宋体" w:hAnsi="宋体" w:cs="宋体" w:eastAsia="宋体"/>
          <w:sz w:val="24"/>
        </w:rPr>
        <w:t>1）</w:t>
      </w:r>
      <w:r>
        <w:rPr>
          <w:rFonts w:ascii="宋体" w:hAnsi="宋体" w:cs="宋体" w:eastAsia="宋体"/>
          <w:sz w:val="24"/>
        </w:rPr>
        <w:t>存放环境温度范围：不小于</w:t>
      </w:r>
      <w:r>
        <w:rPr>
          <w:rFonts w:ascii="宋体" w:hAnsi="宋体" w:cs="宋体" w:eastAsia="宋体"/>
          <w:sz w:val="24"/>
        </w:rPr>
        <w:t>-20℃～+50℃。</w:t>
      </w:r>
    </w:p>
    <w:p>
      <w:pPr>
        <w:pStyle w:val="null3"/>
        <w:ind w:firstLine="480"/>
      </w:pPr>
      <w:r>
        <w:rPr>
          <w:rFonts w:ascii="宋体" w:hAnsi="宋体" w:cs="宋体" w:eastAsia="宋体"/>
          <w:sz w:val="24"/>
        </w:rPr>
        <w:t>（</w:t>
      </w:r>
      <w:r>
        <w:rPr>
          <w:rFonts w:ascii="宋体" w:hAnsi="宋体" w:cs="宋体" w:eastAsia="宋体"/>
          <w:sz w:val="24"/>
        </w:rPr>
        <w:t>2）</w:t>
      </w:r>
      <w:r>
        <w:rPr>
          <w:rFonts w:ascii="宋体" w:hAnsi="宋体" w:cs="宋体" w:eastAsia="宋体"/>
          <w:sz w:val="24"/>
        </w:rPr>
        <w:t>使用温度范围：不小于</w:t>
      </w:r>
      <w:r>
        <w:rPr>
          <w:rFonts w:ascii="宋体" w:hAnsi="宋体" w:cs="宋体" w:eastAsia="宋体"/>
          <w:sz w:val="24"/>
        </w:rPr>
        <w:t>-20℃～+50℃。</w:t>
      </w:r>
    </w:p>
    <w:p>
      <w:pPr>
        <w:pStyle w:val="null3"/>
        <w:ind w:firstLine="480"/>
      </w:pPr>
      <w:r>
        <w:rPr>
          <w:rFonts w:ascii="宋体" w:hAnsi="宋体" w:cs="宋体" w:eastAsia="宋体"/>
          <w:sz w:val="24"/>
        </w:rPr>
        <w:t>（</w:t>
      </w:r>
      <w:r>
        <w:rPr>
          <w:rFonts w:ascii="宋体" w:hAnsi="宋体" w:cs="宋体" w:eastAsia="宋体"/>
          <w:sz w:val="24"/>
        </w:rPr>
        <w:t>3）</w:t>
      </w:r>
      <w:r>
        <w:rPr>
          <w:rFonts w:ascii="宋体" w:hAnsi="宋体" w:cs="宋体" w:eastAsia="宋体"/>
          <w:sz w:val="24"/>
        </w:rPr>
        <w:t>试验区域湿度范围：</w:t>
      </w:r>
      <w:r>
        <w:rPr>
          <w:rFonts w:ascii="宋体" w:hAnsi="宋体" w:cs="宋体" w:eastAsia="宋体"/>
          <w:sz w:val="24"/>
        </w:rPr>
        <w:t>≤90%。</w:t>
      </w:r>
    </w:p>
    <w:p>
      <w:pPr>
        <w:pStyle w:val="null3"/>
        <w:ind w:firstLine="480"/>
      </w:pPr>
      <w:r>
        <w:rPr>
          <w:rFonts w:ascii="宋体" w:hAnsi="宋体" w:cs="宋体" w:eastAsia="宋体"/>
          <w:sz w:val="24"/>
        </w:rPr>
        <w:t>（</w:t>
      </w:r>
      <w:r>
        <w:rPr>
          <w:rFonts w:ascii="宋体" w:hAnsi="宋体" w:cs="宋体" w:eastAsia="宋体"/>
          <w:sz w:val="24"/>
        </w:rPr>
        <w:t>4）</w:t>
      </w:r>
      <w:r>
        <w:rPr>
          <w:rFonts w:ascii="宋体" w:hAnsi="宋体" w:cs="宋体" w:eastAsia="宋体"/>
          <w:sz w:val="24"/>
        </w:rPr>
        <w:t>户外工作条件：能适配车载电源</w:t>
      </w:r>
      <w:r>
        <w:rPr>
          <w:rFonts w:ascii="宋体" w:hAnsi="宋体" w:cs="宋体" w:eastAsia="宋体"/>
          <w:sz w:val="24"/>
        </w:rPr>
        <w:t>12～30VDC。</w:t>
      </w:r>
    </w:p>
    <w:p>
      <w:pPr>
        <w:pStyle w:val="null3"/>
        <w:ind w:firstLine="482"/>
        <w:jc w:val="both"/>
      </w:pPr>
      <w:r>
        <w:rPr>
          <w:rFonts w:ascii="宋体" w:hAnsi="宋体" w:cs="宋体" w:eastAsia="宋体"/>
          <w:b/>
          <w:sz w:val="24"/>
        </w:rPr>
        <w:t>3、</w:t>
      </w:r>
      <w:r>
        <w:rPr>
          <w:rFonts w:ascii="宋体" w:hAnsi="宋体" w:cs="宋体" w:eastAsia="宋体"/>
          <w:b/>
          <w:sz w:val="24"/>
        </w:rPr>
        <w:t>设备配置技术要求</w:t>
      </w:r>
    </w:p>
    <w:p>
      <w:pPr>
        <w:pStyle w:val="null3"/>
        <w:ind w:firstLine="482"/>
        <w:jc w:val="both"/>
      </w:pPr>
      <w:r>
        <w:rPr>
          <w:rFonts w:ascii="宋体" w:hAnsi="宋体" w:cs="宋体" w:eastAsia="宋体"/>
          <w:b/>
          <w:sz w:val="24"/>
        </w:rPr>
        <w:t>3.</w:t>
      </w:r>
      <w:r>
        <w:rPr>
          <w:rFonts w:ascii="宋体" w:hAnsi="宋体" w:cs="宋体" w:eastAsia="宋体"/>
          <w:b/>
          <w:sz w:val="24"/>
        </w:rPr>
        <w:t>1</w:t>
      </w:r>
      <w:r>
        <w:rPr>
          <w:rFonts w:ascii="宋体" w:hAnsi="宋体" w:cs="宋体" w:eastAsia="宋体"/>
          <w:b/>
          <w:sz w:val="24"/>
        </w:rPr>
        <w:t>测控系统要求</w:t>
      </w:r>
    </w:p>
    <w:p>
      <w:pPr>
        <w:pStyle w:val="null3"/>
        <w:ind w:firstLine="480"/>
      </w:pPr>
      <w:r>
        <w:rPr>
          <w:rFonts w:ascii="宋体" w:hAnsi="宋体" w:cs="宋体" w:eastAsia="宋体"/>
          <w:sz w:val="24"/>
        </w:rPr>
        <w:t>3.1.1能同时实现转向、制动和油门操控装置三个通道的控制，能单独控制，也可以协同控制；</w:t>
      </w:r>
    </w:p>
    <w:p>
      <w:pPr>
        <w:pStyle w:val="null3"/>
        <w:ind w:firstLine="480"/>
      </w:pPr>
      <w:r>
        <w:rPr>
          <w:rFonts w:ascii="宋体" w:hAnsi="宋体" w:cs="宋体" w:eastAsia="宋体"/>
          <w:sz w:val="24"/>
        </w:rPr>
        <w:t>3.1.2兼容性能：a、能与数据采集设备直接兼容使用，允许即插即用；b、能与RT3000等多类惯导设备兼容使用，允许即插即用；</w:t>
      </w:r>
    </w:p>
    <w:p>
      <w:pPr>
        <w:pStyle w:val="null3"/>
        <w:ind w:firstLine="480"/>
      </w:pPr>
      <w:r>
        <w:rPr>
          <w:rFonts w:ascii="宋体" w:hAnsi="宋体" w:cs="宋体" w:eastAsia="宋体"/>
          <w:sz w:val="24"/>
        </w:rPr>
        <w:t>3.1.3操控系统能通过模拟输出、CAN输出等方式将采集到的信号同步发送至dewetron或dewesoft等通用数据采集器，信号至少包括如下：</w:t>
      </w:r>
    </w:p>
    <w:p>
      <w:pPr>
        <w:pStyle w:val="null3"/>
        <w:ind w:left="570"/>
        <w:jc w:val="both"/>
      </w:pPr>
      <w:r>
        <w:rPr>
          <w:rFonts w:ascii="宋体" w:hAnsi="宋体" w:cs="宋体" w:eastAsia="宋体"/>
          <w:sz w:val="24"/>
        </w:rPr>
        <w:t>1）方向盘转角，速度或加速度；</w:t>
      </w:r>
    </w:p>
    <w:p>
      <w:pPr>
        <w:pStyle w:val="null3"/>
        <w:ind w:left="570"/>
        <w:jc w:val="both"/>
      </w:pPr>
      <w:r>
        <w:rPr>
          <w:rFonts w:ascii="宋体" w:hAnsi="宋体" w:cs="宋体" w:eastAsia="宋体"/>
          <w:sz w:val="24"/>
        </w:rPr>
        <w:t>2）方向盘转角，速度或加速度；</w:t>
      </w:r>
    </w:p>
    <w:p>
      <w:pPr>
        <w:pStyle w:val="null3"/>
        <w:ind w:left="570"/>
        <w:jc w:val="both"/>
      </w:pPr>
      <w:r>
        <w:rPr>
          <w:rFonts w:ascii="宋体" w:hAnsi="宋体" w:cs="宋体" w:eastAsia="宋体"/>
          <w:sz w:val="24"/>
        </w:rPr>
        <w:t>3）方向盘/转向柱扭矩；</w:t>
      </w:r>
    </w:p>
    <w:p>
      <w:pPr>
        <w:pStyle w:val="null3"/>
        <w:ind w:left="570"/>
        <w:jc w:val="both"/>
      </w:pPr>
      <w:r>
        <w:rPr>
          <w:rFonts w:ascii="宋体" w:hAnsi="宋体" w:cs="宋体" w:eastAsia="宋体"/>
          <w:sz w:val="24"/>
        </w:rPr>
        <w:t>4）制动踏板位置或/力；</w:t>
      </w:r>
    </w:p>
    <w:p>
      <w:pPr>
        <w:pStyle w:val="null3"/>
        <w:ind w:left="570"/>
        <w:jc w:val="both"/>
      </w:pPr>
      <w:r>
        <w:rPr>
          <w:rFonts w:ascii="宋体" w:hAnsi="宋体" w:cs="宋体" w:eastAsia="宋体"/>
          <w:sz w:val="24"/>
        </w:rPr>
        <w:t>5）油门踏板位置；</w:t>
      </w:r>
    </w:p>
    <w:p>
      <w:pPr>
        <w:pStyle w:val="null3"/>
        <w:ind w:left="570"/>
        <w:jc w:val="both"/>
      </w:pPr>
      <w:r>
        <w:rPr>
          <w:rFonts w:ascii="宋体" w:hAnsi="宋体" w:cs="宋体" w:eastAsia="宋体"/>
          <w:sz w:val="24"/>
        </w:rPr>
        <w:t>6）车速；</w:t>
      </w:r>
    </w:p>
    <w:p>
      <w:pPr>
        <w:pStyle w:val="null3"/>
        <w:ind w:left="570"/>
        <w:jc w:val="both"/>
      </w:pPr>
      <w:r>
        <w:rPr>
          <w:rFonts w:ascii="宋体" w:hAnsi="宋体" w:cs="宋体" w:eastAsia="宋体"/>
          <w:sz w:val="24"/>
        </w:rPr>
        <w:t>7）触发信号。</w:t>
      </w:r>
    </w:p>
    <w:p>
      <w:pPr>
        <w:pStyle w:val="null3"/>
        <w:ind w:firstLine="480"/>
      </w:pPr>
      <w:r>
        <w:rPr>
          <w:rFonts w:ascii="宋体" w:hAnsi="宋体" w:cs="宋体" w:eastAsia="宋体"/>
          <w:sz w:val="24"/>
        </w:rPr>
        <w:t>3.1.4纵向车速控制精度：≤0.5km/h（（at≥80km/h）；</w:t>
      </w:r>
    </w:p>
    <w:p>
      <w:pPr>
        <w:pStyle w:val="null3"/>
        <w:ind w:firstLine="480"/>
      </w:pPr>
      <w:r>
        <w:rPr>
          <w:rFonts w:ascii="宋体" w:hAnsi="宋体" w:cs="宋体" w:eastAsia="宋体"/>
          <w:sz w:val="24"/>
        </w:rPr>
        <w:t>3.1.5侧向偏移量控制精度：≤2cm</w:t>
      </w:r>
      <w:r>
        <w:rPr>
          <w:rFonts w:ascii="宋体" w:hAnsi="宋体" w:cs="宋体" w:eastAsia="宋体"/>
          <w:sz w:val="24"/>
        </w:rPr>
        <w:t>（</w:t>
      </w:r>
      <w:r>
        <w:rPr>
          <w:rFonts w:ascii="宋体" w:hAnsi="宋体" w:cs="宋体" w:eastAsia="宋体"/>
          <w:sz w:val="24"/>
        </w:rPr>
        <w:t>at≥80km/h）；</w:t>
      </w:r>
    </w:p>
    <w:p>
      <w:pPr>
        <w:pStyle w:val="null3"/>
        <w:ind w:firstLine="480"/>
      </w:pPr>
      <w:r>
        <w:rPr>
          <w:rFonts w:ascii="宋体" w:hAnsi="宋体" w:cs="宋体" w:eastAsia="宋体"/>
          <w:sz w:val="24"/>
        </w:rPr>
        <w:t>3.1.6路径跟随位置控制精度：≤2cm；</w:t>
      </w:r>
    </w:p>
    <w:p>
      <w:pPr>
        <w:pStyle w:val="null3"/>
        <w:ind w:firstLine="480"/>
      </w:pPr>
      <w:r>
        <w:rPr>
          <w:rFonts w:ascii="宋体" w:hAnsi="宋体" w:cs="宋体" w:eastAsia="宋体"/>
          <w:sz w:val="24"/>
        </w:rPr>
        <w:t>3.1.7应满足各类自动驾驶测试场景驾驶需求，配置包含E-NCAP、C-NCAP及其他类自动驾驶标准法规试验项目控制场景库；</w:t>
      </w:r>
    </w:p>
    <w:p>
      <w:pPr>
        <w:pStyle w:val="null3"/>
        <w:ind w:firstLine="480"/>
      </w:pPr>
      <w:r>
        <w:rPr>
          <w:rFonts w:ascii="宋体" w:hAnsi="宋体" w:cs="宋体" w:eastAsia="宋体"/>
          <w:sz w:val="24"/>
        </w:rPr>
        <w:t>3.1.8应满足智能网联汽车自动驾驶功能测试以及FCW、AEB、ACC、LDW、LKA等主动安全法规的相关测试；</w:t>
      </w:r>
    </w:p>
    <w:p>
      <w:pPr>
        <w:pStyle w:val="null3"/>
        <w:ind w:firstLine="480"/>
      </w:pPr>
      <w:r>
        <w:rPr>
          <w:rFonts w:ascii="宋体" w:hAnsi="宋体" w:cs="宋体" w:eastAsia="宋体"/>
          <w:sz w:val="24"/>
        </w:rPr>
        <w:t>3.1.9应满足L1、L2、L3、L4级别的自动驾驶封闭道路测试。</w:t>
      </w:r>
    </w:p>
    <w:p>
      <w:pPr>
        <w:pStyle w:val="null3"/>
        <w:ind w:left="480"/>
        <w:jc w:val="both"/>
      </w:pPr>
      <w:r>
        <w:rPr>
          <w:rFonts w:ascii="宋体" w:hAnsi="宋体" w:cs="宋体" w:eastAsia="宋体"/>
          <w:b/>
          <w:sz w:val="24"/>
        </w:rPr>
        <w:t>3.</w:t>
      </w:r>
      <w:r>
        <w:rPr>
          <w:rFonts w:ascii="宋体" w:hAnsi="宋体" w:cs="宋体" w:eastAsia="宋体"/>
          <w:b/>
          <w:sz w:val="24"/>
        </w:rPr>
        <w:t>2</w:t>
      </w:r>
      <w:r>
        <w:rPr>
          <w:rFonts w:ascii="宋体" w:hAnsi="宋体" w:cs="宋体" w:eastAsia="宋体"/>
          <w:b/>
          <w:sz w:val="24"/>
        </w:rPr>
        <w:t>转向操控装置</w:t>
      </w:r>
    </w:p>
    <w:p>
      <w:pPr>
        <w:pStyle w:val="null3"/>
        <w:ind w:firstLine="480"/>
      </w:pPr>
      <w:r>
        <w:rPr>
          <w:rFonts w:ascii="宋体" w:hAnsi="宋体" w:cs="宋体" w:eastAsia="宋体"/>
          <w:sz w:val="24"/>
        </w:rPr>
        <w:t>3.2.1转向操控装置执行机构应不会对驾驶员的正常安全驾驶造成影响，转向操控装置对驾驶员视野范围不能造成影响；</w:t>
      </w:r>
    </w:p>
    <w:p>
      <w:pPr>
        <w:pStyle w:val="null3"/>
        <w:ind w:firstLine="480"/>
      </w:pPr>
      <w:r>
        <w:rPr>
          <w:rFonts w:ascii="宋体" w:hAnsi="宋体" w:cs="宋体" w:eastAsia="宋体"/>
          <w:sz w:val="24"/>
        </w:rPr>
        <w:t>3.2.2转向操控装置执行机构应不能影响驾驶员对转向盘的接触与操作，驾驶员应可以随时激活转向盘，驾驶员操作优先级别应高于转向操控装置；</w:t>
      </w:r>
    </w:p>
    <w:p>
      <w:pPr>
        <w:pStyle w:val="null3"/>
        <w:ind w:firstLine="480"/>
      </w:pPr>
      <w:r>
        <w:rPr>
          <w:rFonts w:ascii="宋体" w:hAnsi="宋体" w:cs="宋体" w:eastAsia="宋体"/>
          <w:sz w:val="24"/>
        </w:rPr>
        <w:t>3.2.3转向操控装置应具备 “转向角度控制”，“转向角速度控制”，“扭矩控制”三种控制方式；</w:t>
      </w:r>
    </w:p>
    <w:p>
      <w:pPr>
        <w:pStyle w:val="null3"/>
        <w:ind w:firstLine="480"/>
      </w:pPr>
      <w:r>
        <w:rPr>
          <w:rFonts w:ascii="宋体" w:hAnsi="宋体" w:cs="宋体" w:eastAsia="宋体"/>
          <w:sz w:val="24"/>
        </w:rPr>
        <w:t>▲3.2.4驱动电机类型：应采用直接驱动无刷电机；</w:t>
      </w:r>
      <w:r>
        <w:rPr>
          <w:rFonts w:ascii="宋体" w:hAnsi="宋体" w:cs="宋体" w:eastAsia="宋体"/>
          <w:b/>
          <w:sz w:val="24"/>
        </w:rPr>
        <w:t>（提供产品彩页或说明书予以佐证）</w:t>
      </w:r>
    </w:p>
    <w:p>
      <w:pPr>
        <w:pStyle w:val="null3"/>
        <w:ind w:firstLine="480"/>
      </w:pPr>
      <w:r>
        <w:rPr>
          <w:rFonts w:ascii="宋体" w:hAnsi="宋体" w:cs="宋体" w:eastAsia="宋体"/>
          <w:sz w:val="24"/>
        </w:rPr>
        <w:t>★</w:t>
      </w:r>
      <w:r>
        <w:rPr>
          <w:rFonts w:ascii="宋体" w:hAnsi="宋体" w:cs="宋体" w:eastAsia="宋体"/>
          <w:sz w:val="24"/>
        </w:rPr>
        <w:t>3.2.5额定扭矩≥60N·m</w:t>
      </w:r>
      <w:r>
        <w:rPr>
          <w:rFonts w:ascii="宋体" w:hAnsi="宋体" w:cs="宋体" w:eastAsia="宋体"/>
          <w:sz w:val="24"/>
        </w:rPr>
        <w:t>；</w:t>
      </w:r>
      <w:r>
        <w:rPr>
          <w:rFonts w:ascii="宋体" w:hAnsi="宋体" w:cs="宋体" w:eastAsia="宋体"/>
          <w:b/>
          <w:sz w:val="24"/>
        </w:rPr>
        <w:t>（提供产品彩页予以佐证）</w:t>
      </w:r>
    </w:p>
    <w:p>
      <w:pPr>
        <w:pStyle w:val="null3"/>
        <w:ind w:firstLine="480"/>
      </w:pPr>
      <w:r>
        <w:rPr>
          <w:rFonts w:ascii="宋体" w:hAnsi="宋体" w:cs="宋体" w:eastAsia="宋体"/>
          <w:sz w:val="24"/>
        </w:rPr>
        <w:t>▲3.2.6转向力矩误差≤0.2N·m ；</w:t>
      </w:r>
      <w:r>
        <w:rPr>
          <w:rFonts w:ascii="宋体" w:hAnsi="宋体" w:cs="宋体" w:eastAsia="宋体"/>
          <w:b/>
          <w:sz w:val="24"/>
        </w:rPr>
        <w:t>(提供带CNAS标志的第三方计量报告予以佐证)</w:t>
      </w:r>
      <w:r>
        <w:rPr/>
        <w:t xml:space="preserve"> </w:t>
      </w:r>
    </w:p>
    <w:p>
      <w:pPr>
        <w:pStyle w:val="null3"/>
        <w:ind w:firstLine="480"/>
      </w:pPr>
      <w:r>
        <w:rPr>
          <w:rFonts w:ascii="宋体" w:hAnsi="宋体" w:cs="宋体" w:eastAsia="宋体"/>
          <w:sz w:val="24"/>
        </w:rPr>
        <w:t>3.2.7最大角速度（转速）≥1700°/s，额定扭矩下角速度：≥1200°/s；</w:t>
      </w:r>
    </w:p>
    <w:p>
      <w:pPr>
        <w:pStyle w:val="null3"/>
        <w:ind w:firstLine="480"/>
      </w:pPr>
      <w:r>
        <w:rPr>
          <w:rFonts w:ascii="宋体" w:hAnsi="宋体" w:cs="宋体" w:eastAsia="宋体"/>
          <w:sz w:val="24"/>
        </w:rPr>
        <w:t>3.2.8角度量程≥±720°；</w:t>
      </w:r>
    </w:p>
    <w:p>
      <w:pPr>
        <w:pStyle w:val="null3"/>
        <w:ind w:firstLine="480"/>
      </w:pPr>
      <w:r>
        <w:rPr>
          <w:rFonts w:ascii="宋体" w:hAnsi="宋体" w:cs="宋体" w:eastAsia="宋体"/>
          <w:sz w:val="24"/>
        </w:rPr>
        <w:t>3.2.9系统角度控制精度≤0.2°，系统扭矩控制精度≤1%</w:t>
      </w:r>
      <w:r>
        <w:rPr>
          <w:rFonts w:ascii="宋体" w:hAnsi="宋体" w:cs="宋体" w:eastAsia="宋体"/>
          <w:sz w:val="24"/>
        </w:rPr>
        <w:t>；</w:t>
      </w:r>
    </w:p>
    <w:p>
      <w:pPr>
        <w:pStyle w:val="null3"/>
        <w:ind w:firstLine="480"/>
      </w:pPr>
      <w:r>
        <w:rPr>
          <w:rFonts w:ascii="宋体" w:hAnsi="宋体" w:cs="宋体" w:eastAsia="宋体"/>
          <w:sz w:val="24"/>
        </w:rPr>
        <w:t>3.2.10角度分辨率≤0.001°；</w:t>
      </w:r>
    </w:p>
    <w:p>
      <w:pPr>
        <w:pStyle w:val="null3"/>
        <w:ind w:firstLine="480"/>
      </w:pPr>
      <w:r>
        <w:rPr>
          <w:rFonts w:ascii="宋体" w:hAnsi="宋体" w:cs="宋体" w:eastAsia="宋体"/>
          <w:sz w:val="24"/>
        </w:rPr>
        <w:t>3.2.11执行机构质量≤12.5kg；</w:t>
      </w:r>
    </w:p>
    <w:p>
      <w:pPr>
        <w:pStyle w:val="null3"/>
        <w:ind w:firstLine="480"/>
      </w:pPr>
      <w:r>
        <w:rPr>
          <w:rFonts w:ascii="宋体" w:hAnsi="宋体" w:cs="宋体" w:eastAsia="宋体"/>
          <w:sz w:val="24"/>
        </w:rPr>
        <w:t>3.2.12适配方向盘尺寸范围：不小于298 mm～498mm；</w:t>
      </w:r>
    </w:p>
    <w:p>
      <w:pPr>
        <w:pStyle w:val="null3"/>
        <w:ind w:firstLine="480"/>
      </w:pPr>
      <w:r>
        <w:rPr>
          <w:rFonts w:ascii="宋体" w:hAnsi="宋体" w:cs="宋体" w:eastAsia="宋体"/>
          <w:sz w:val="24"/>
        </w:rPr>
        <w:t>3.2.13通过CAN总线读取和记录的测量信号≥20个，并能将信号用作触发信号；</w:t>
      </w:r>
    </w:p>
    <w:p>
      <w:pPr>
        <w:pStyle w:val="null3"/>
        <w:ind w:firstLine="480"/>
      </w:pPr>
      <w:r>
        <w:rPr>
          <w:rFonts w:ascii="宋体" w:hAnsi="宋体" w:cs="宋体" w:eastAsia="宋体"/>
          <w:sz w:val="24"/>
        </w:rPr>
        <w:t>3.2.14应能记录并重放转向动作；</w:t>
      </w:r>
    </w:p>
    <w:p>
      <w:pPr>
        <w:pStyle w:val="null3"/>
        <w:ind w:firstLine="480"/>
      </w:pPr>
      <w:r>
        <w:rPr>
          <w:rFonts w:ascii="宋体" w:hAnsi="宋体" w:cs="宋体" w:eastAsia="宋体"/>
          <w:sz w:val="24"/>
        </w:rPr>
        <w:t>3.2.15应能以图形方式快速，清晰地评估执行的操作；</w:t>
      </w:r>
    </w:p>
    <w:p>
      <w:pPr>
        <w:pStyle w:val="null3"/>
        <w:ind w:firstLine="480"/>
      </w:pPr>
      <w:r>
        <w:rPr>
          <w:rFonts w:ascii="宋体" w:hAnsi="宋体" w:cs="宋体" w:eastAsia="宋体"/>
          <w:sz w:val="24"/>
        </w:rPr>
        <w:t>▲3.2.16在试验过程中可以通过控制手柄实时修正转向角度，并能在较小的试验跑道上完成扫频和连续正弦等测试。（</w:t>
      </w:r>
      <w:r>
        <w:rPr>
          <w:rFonts w:ascii="宋体" w:hAnsi="宋体" w:cs="宋体" w:eastAsia="宋体"/>
          <w:b/>
          <w:sz w:val="24"/>
        </w:rPr>
        <w:t>提供扫频和连续正弦测试功能截图予以佐证）</w:t>
      </w:r>
    </w:p>
    <w:p>
      <w:pPr>
        <w:pStyle w:val="null3"/>
        <w:ind w:firstLine="480"/>
      </w:pPr>
      <w:r>
        <w:rPr>
          <w:rFonts w:ascii="宋体" w:hAnsi="宋体" w:cs="宋体" w:eastAsia="宋体"/>
          <w:sz w:val="24"/>
        </w:rPr>
        <w:t>▲3.2.17安装方式：应采用侧向立柱反作用支柱安装（带转矩测试转感器），从而实现无需对车辆本身进行任何改动即可安装，且不影响安全气囊正常弹出。</w:t>
      </w:r>
      <w:r>
        <w:rPr>
          <w:rFonts w:ascii="宋体" w:hAnsi="宋体" w:cs="宋体" w:eastAsia="宋体"/>
          <w:b/>
          <w:sz w:val="24"/>
        </w:rPr>
        <w:t>（提供设备安装于乘用车及商用车的照片予以佐证）</w:t>
      </w:r>
    </w:p>
    <w:p>
      <w:pPr>
        <w:pStyle w:val="null3"/>
        <w:ind w:firstLine="480"/>
      </w:pPr>
      <w:r>
        <w:rPr>
          <w:rFonts w:ascii="宋体" w:hAnsi="宋体" w:cs="宋体" w:eastAsia="宋体"/>
          <w:sz w:val="24"/>
        </w:rPr>
        <w:t>3.2.18安装支架应采用吸盘式，安装支架易调节，可以使用吸盘来确保支架安装玻璃上，并能够提供足够坚固的抗旋转限制，安装后对驾驶员的正常安全驾驶应不造成影响，对驾驶员视野范围应不造成影响。</w:t>
      </w:r>
    </w:p>
    <w:p>
      <w:pPr>
        <w:pStyle w:val="null3"/>
        <w:ind w:firstLine="480"/>
      </w:pPr>
      <w:r>
        <w:rPr>
          <w:rFonts w:ascii="宋体" w:hAnsi="宋体" w:cs="宋体" w:eastAsia="宋体"/>
          <w:sz w:val="24"/>
        </w:rPr>
        <w:t>3.2.19应提供成套的方向盘适配器，使得该设备能够全部覆盖乘用车、商用类的试验车型，包括且不限于SUV、轻卡、LCV、重卡和客车。</w:t>
      </w:r>
    </w:p>
    <w:p>
      <w:pPr>
        <w:pStyle w:val="null3"/>
        <w:ind w:firstLine="480"/>
      </w:pPr>
      <w:r>
        <w:rPr>
          <w:rFonts w:ascii="宋体" w:hAnsi="宋体" w:cs="宋体" w:eastAsia="宋体"/>
          <w:sz w:val="24"/>
        </w:rPr>
        <w:t>3.2.20安全性:当发生紧急情况时,即使转向操控装置处于工作状态,驾驶员也能够进行干预,确保有多重安全特性。</w:t>
      </w:r>
    </w:p>
    <w:p>
      <w:pPr>
        <w:pStyle w:val="null3"/>
        <w:ind w:firstLine="482"/>
        <w:jc w:val="both"/>
      </w:pPr>
      <w:r>
        <w:rPr>
          <w:rFonts w:ascii="宋体" w:hAnsi="宋体" w:cs="宋体" w:eastAsia="宋体"/>
          <w:b/>
          <w:sz w:val="24"/>
        </w:rPr>
        <w:t>3.</w:t>
      </w:r>
      <w:r>
        <w:rPr>
          <w:rFonts w:ascii="宋体" w:hAnsi="宋体" w:cs="宋体" w:eastAsia="宋体"/>
          <w:b/>
          <w:sz w:val="24"/>
        </w:rPr>
        <w:t>3</w:t>
      </w:r>
      <w:r>
        <w:rPr>
          <w:rFonts w:ascii="宋体" w:hAnsi="宋体" w:cs="宋体" w:eastAsia="宋体"/>
          <w:b/>
          <w:sz w:val="24"/>
        </w:rPr>
        <w:t>制动、油门踏板操控装置</w:t>
      </w:r>
    </w:p>
    <w:p>
      <w:pPr>
        <w:pStyle w:val="null3"/>
        <w:ind w:firstLine="480"/>
      </w:pPr>
      <w:r>
        <w:rPr>
          <w:rFonts w:ascii="宋体" w:hAnsi="宋体" w:cs="宋体" w:eastAsia="宋体"/>
          <w:sz w:val="24"/>
        </w:rPr>
        <w:t>3.3.1踏板操控装置安装后，驾驶员应仍有足够的腿部空间可随时对车辆进行控制，可随时激活踏板，驾驶员操作优先级别高于操控装置；</w:t>
      </w:r>
    </w:p>
    <w:p>
      <w:pPr>
        <w:pStyle w:val="null3"/>
        <w:ind w:firstLine="480"/>
      </w:pPr>
      <w:r>
        <w:rPr>
          <w:rFonts w:ascii="宋体" w:hAnsi="宋体" w:cs="宋体" w:eastAsia="宋体"/>
          <w:sz w:val="24"/>
        </w:rPr>
        <w:t>3.3.2制动、油门踏板操控装置执行机构重量应不超过7kg；</w:t>
      </w:r>
    </w:p>
    <w:p>
      <w:pPr>
        <w:pStyle w:val="null3"/>
        <w:ind w:firstLine="480"/>
      </w:pPr>
      <w:r>
        <w:rPr>
          <w:rFonts w:ascii="宋体" w:hAnsi="宋体" w:cs="宋体" w:eastAsia="宋体"/>
          <w:sz w:val="24"/>
        </w:rPr>
        <w:t>3.3.3制动踏板操控装置应具备踏板位置控制、车辆纵向加速度控制、车辆纵向速度控制、踏板力控制四种模式；</w:t>
      </w:r>
    </w:p>
    <w:p>
      <w:pPr>
        <w:pStyle w:val="null3"/>
        <w:ind w:firstLine="480"/>
      </w:pPr>
      <w:r>
        <w:rPr>
          <w:rFonts w:ascii="宋体" w:hAnsi="宋体" w:cs="宋体" w:eastAsia="宋体"/>
          <w:sz w:val="24"/>
        </w:rPr>
        <w:t>★</w:t>
      </w:r>
      <w:r>
        <w:rPr>
          <w:rFonts w:ascii="宋体" w:hAnsi="宋体" w:cs="宋体" w:eastAsia="宋体"/>
          <w:sz w:val="24"/>
        </w:rPr>
        <w:t>3.3.4制动踏板力最大值≥1300N</w:t>
      </w:r>
      <w:r>
        <w:rPr>
          <w:rFonts w:ascii="宋体" w:hAnsi="宋体" w:cs="宋体" w:eastAsia="宋体"/>
          <w:sz w:val="24"/>
        </w:rPr>
        <w:t>；</w:t>
      </w:r>
      <w:r>
        <w:rPr>
          <w:rFonts w:ascii="宋体" w:hAnsi="宋体" w:cs="宋体" w:eastAsia="宋体"/>
          <w:b/>
          <w:sz w:val="24"/>
        </w:rPr>
        <w:t>（需提供产品彩页予以佐证）</w:t>
      </w:r>
    </w:p>
    <w:p>
      <w:pPr>
        <w:pStyle w:val="null3"/>
        <w:ind w:firstLine="480"/>
      </w:pPr>
      <w:r>
        <w:rPr>
          <w:rFonts w:ascii="宋体" w:hAnsi="宋体" w:cs="宋体" w:eastAsia="宋体"/>
          <w:sz w:val="24"/>
        </w:rPr>
        <w:t>▲3.3.5制动踏板力误差≤1N；</w:t>
      </w:r>
      <w:r>
        <w:rPr>
          <w:rFonts w:ascii="宋体" w:hAnsi="宋体" w:cs="宋体" w:eastAsia="宋体"/>
          <w:b/>
          <w:sz w:val="24"/>
        </w:rPr>
        <w:t>(需提供带CNAS标志的第三方计量报告予以佐证)</w:t>
      </w:r>
    </w:p>
    <w:p>
      <w:pPr>
        <w:pStyle w:val="null3"/>
        <w:ind w:firstLine="480"/>
      </w:pPr>
      <w:r>
        <w:rPr>
          <w:rFonts w:ascii="宋体" w:hAnsi="宋体" w:cs="宋体" w:eastAsia="宋体"/>
          <w:sz w:val="24"/>
        </w:rPr>
        <w:t>3.3.6最大制动速度≥230cm/s；</w:t>
      </w:r>
    </w:p>
    <w:p>
      <w:pPr>
        <w:pStyle w:val="null3"/>
        <w:ind w:firstLine="480"/>
      </w:pPr>
      <w:r>
        <w:rPr>
          <w:rFonts w:ascii="宋体" w:hAnsi="宋体" w:cs="宋体" w:eastAsia="宋体"/>
          <w:sz w:val="24"/>
        </w:rPr>
        <w:t>3.3.7制动踏板行程≥220mm；</w:t>
      </w:r>
    </w:p>
    <w:p>
      <w:pPr>
        <w:pStyle w:val="null3"/>
        <w:ind w:firstLine="480"/>
      </w:pPr>
      <w:r>
        <w:rPr>
          <w:rFonts w:ascii="宋体" w:hAnsi="宋体" w:cs="宋体" w:eastAsia="宋体"/>
          <w:sz w:val="24"/>
        </w:rPr>
        <w:t>3.3.8制动踏板位移分辨率≤0.005mm；</w:t>
      </w:r>
    </w:p>
    <w:p>
      <w:pPr>
        <w:pStyle w:val="null3"/>
        <w:ind w:firstLine="480"/>
      </w:pPr>
      <w:r>
        <w:rPr>
          <w:rFonts w:ascii="宋体" w:hAnsi="宋体" w:cs="宋体" w:eastAsia="宋体"/>
          <w:sz w:val="24"/>
        </w:rPr>
        <w:t>3.3.9油门踏板操控装置应具备踏板位置控制、车辆纵向加速度控制、车辆纵向速度控制、踏板力控制四种模式；</w:t>
      </w:r>
    </w:p>
    <w:p>
      <w:pPr>
        <w:pStyle w:val="null3"/>
        <w:ind w:firstLine="480"/>
      </w:pPr>
      <w:r>
        <w:rPr>
          <w:rFonts w:ascii="宋体" w:hAnsi="宋体" w:cs="宋体" w:eastAsia="宋体"/>
          <w:sz w:val="24"/>
        </w:rPr>
        <w:t>3.3.10油门踏板力最大值≥180N</w:t>
      </w:r>
      <w:r>
        <w:rPr>
          <w:rFonts w:ascii="宋体" w:hAnsi="宋体" w:cs="宋体" w:eastAsia="宋体"/>
          <w:sz w:val="24"/>
        </w:rPr>
        <w:t>；</w:t>
      </w:r>
    </w:p>
    <w:p>
      <w:pPr>
        <w:pStyle w:val="null3"/>
        <w:ind w:firstLine="480"/>
      </w:pPr>
      <w:r>
        <w:rPr>
          <w:rFonts w:ascii="宋体" w:hAnsi="宋体" w:cs="宋体" w:eastAsia="宋体"/>
          <w:sz w:val="24"/>
        </w:rPr>
        <w:t>3.3.11油门踏板最大速度≥150cm/s；</w:t>
      </w:r>
    </w:p>
    <w:p>
      <w:pPr>
        <w:pStyle w:val="null3"/>
        <w:ind w:firstLine="480"/>
      </w:pPr>
      <w:r>
        <w:rPr>
          <w:rFonts w:ascii="宋体" w:hAnsi="宋体" w:cs="宋体" w:eastAsia="宋体"/>
          <w:sz w:val="24"/>
        </w:rPr>
        <w:t>3.3.12油门踏板行程≥150mm；</w:t>
      </w:r>
    </w:p>
    <w:p>
      <w:pPr>
        <w:pStyle w:val="null3"/>
        <w:ind w:firstLine="480"/>
      </w:pPr>
      <w:r>
        <w:rPr>
          <w:rFonts w:ascii="宋体" w:hAnsi="宋体" w:cs="宋体" w:eastAsia="宋体"/>
          <w:sz w:val="24"/>
        </w:rPr>
        <w:t>3.3.13油门踏板位移分辨率≤0.005mm；</w:t>
      </w:r>
    </w:p>
    <w:p>
      <w:pPr>
        <w:pStyle w:val="null3"/>
        <w:ind w:firstLine="480"/>
      </w:pPr>
      <w:r>
        <w:rPr>
          <w:rFonts w:ascii="宋体" w:hAnsi="宋体" w:cs="宋体" w:eastAsia="宋体"/>
          <w:sz w:val="24"/>
        </w:rPr>
        <w:t>3.3.14当发生紧急情况时，即使制动、油门踏板操控装置处于工作状态，驾驶员也能够进行干预，确保有多重安全特性。</w:t>
      </w:r>
    </w:p>
    <w:p>
      <w:pPr>
        <w:pStyle w:val="null3"/>
        <w:ind w:firstLine="482"/>
        <w:jc w:val="both"/>
      </w:pPr>
      <w:r>
        <w:rPr>
          <w:rFonts w:ascii="宋体" w:hAnsi="宋体" w:cs="宋体" w:eastAsia="宋体"/>
          <w:b/>
          <w:sz w:val="24"/>
        </w:rPr>
        <w:t>3.</w:t>
      </w:r>
      <w:r>
        <w:rPr>
          <w:rFonts w:ascii="宋体" w:hAnsi="宋体" w:cs="宋体" w:eastAsia="宋体"/>
          <w:b/>
          <w:sz w:val="24"/>
        </w:rPr>
        <w:t>4</w:t>
      </w:r>
      <w:r>
        <w:rPr>
          <w:rFonts w:ascii="宋体" w:hAnsi="宋体" w:cs="宋体" w:eastAsia="宋体"/>
          <w:b/>
          <w:sz w:val="24"/>
        </w:rPr>
        <w:t>设备控制</w:t>
      </w:r>
      <w:r>
        <w:rPr>
          <w:rFonts w:ascii="宋体" w:hAnsi="宋体" w:cs="宋体" w:eastAsia="宋体"/>
          <w:b/>
          <w:sz w:val="24"/>
        </w:rPr>
        <w:t>器</w:t>
      </w:r>
      <w:r>
        <w:rPr>
          <w:rFonts w:ascii="宋体" w:hAnsi="宋体" w:cs="宋体" w:eastAsia="宋体"/>
          <w:b/>
          <w:sz w:val="24"/>
        </w:rPr>
        <w:t>及路径跟随系统</w:t>
      </w:r>
    </w:p>
    <w:p>
      <w:pPr>
        <w:pStyle w:val="null3"/>
        <w:ind w:firstLine="480"/>
      </w:pPr>
      <w:r>
        <w:rPr>
          <w:rFonts w:ascii="宋体" w:hAnsi="宋体" w:cs="宋体" w:eastAsia="宋体"/>
          <w:sz w:val="24"/>
        </w:rPr>
        <w:t>3.4.1应支持用户自定义测试方案，根据试验需求，设置预定动作；</w:t>
      </w:r>
    </w:p>
    <w:p>
      <w:pPr>
        <w:pStyle w:val="null3"/>
        <w:ind w:firstLine="480"/>
      </w:pPr>
      <w:r>
        <w:rPr>
          <w:rFonts w:ascii="宋体" w:hAnsi="宋体" w:cs="宋体" w:eastAsia="宋体"/>
          <w:sz w:val="24"/>
        </w:rPr>
        <w:t>3.4.2软件界面人机交互良好，应具备多通道自定义限值保护功能，例如：速度限值保护、纵向加速度限值保护、侧向加速度限值、横摆角速度限值保护；</w:t>
      </w:r>
    </w:p>
    <w:p>
      <w:pPr>
        <w:pStyle w:val="null3"/>
        <w:ind w:firstLine="480"/>
      </w:pPr>
      <w:r>
        <w:rPr>
          <w:rFonts w:ascii="宋体" w:hAnsi="宋体" w:cs="宋体" w:eastAsia="宋体"/>
          <w:sz w:val="24"/>
        </w:rPr>
        <w:t>3.4.3应提供2个手柄控制器，用于随时中断试验和启动试验；</w:t>
      </w:r>
    </w:p>
    <w:p>
      <w:pPr>
        <w:pStyle w:val="null3"/>
        <w:ind w:firstLine="480"/>
      </w:pPr>
      <w:r>
        <w:rPr>
          <w:rFonts w:ascii="宋体" w:hAnsi="宋体" w:cs="宋体" w:eastAsia="宋体"/>
          <w:sz w:val="24"/>
        </w:rPr>
        <w:t>3.4.4操控装置控制器、基站能够与惯导系统集成，能够采集惯导系统所有数据，能够根据惯导系统数据，实施路径控制；</w:t>
      </w:r>
    </w:p>
    <w:p>
      <w:pPr>
        <w:pStyle w:val="null3"/>
        <w:ind w:firstLine="480"/>
      </w:pPr>
      <w:r>
        <w:rPr>
          <w:rFonts w:ascii="宋体" w:hAnsi="宋体" w:cs="宋体" w:eastAsia="宋体"/>
          <w:sz w:val="24"/>
        </w:rPr>
        <w:t>3.4.5应具备自定义轨迹功能，能够根据预设定的轨迹，对车辆行驶路径进行精确闭环控制；</w:t>
      </w:r>
    </w:p>
    <w:p>
      <w:pPr>
        <w:pStyle w:val="null3"/>
        <w:ind w:firstLine="480"/>
      </w:pPr>
      <w:r>
        <w:rPr>
          <w:rFonts w:ascii="宋体" w:hAnsi="宋体" w:cs="宋体" w:eastAsia="宋体"/>
          <w:sz w:val="24"/>
        </w:rPr>
        <w:t>3.4.6应能通过惯导系统与基站进行定位；</w:t>
      </w:r>
    </w:p>
    <w:p>
      <w:pPr>
        <w:pStyle w:val="null3"/>
        <w:ind w:firstLine="480"/>
      </w:pPr>
      <w:r>
        <w:rPr>
          <w:rFonts w:ascii="宋体" w:hAnsi="宋体" w:cs="宋体" w:eastAsia="宋体"/>
          <w:sz w:val="24"/>
        </w:rPr>
        <w:t>3.4.7应具备录制和回放功能，能在手动驾驶时记录GPS坐标，然后非常准确且高重复性地重现该记录的轨道；</w:t>
      </w:r>
    </w:p>
    <w:p>
      <w:pPr>
        <w:pStyle w:val="null3"/>
        <w:ind w:firstLine="480"/>
      </w:pPr>
      <w:r>
        <w:rPr>
          <w:rFonts w:ascii="宋体" w:hAnsi="宋体" w:cs="宋体" w:eastAsia="宋体"/>
          <w:sz w:val="24"/>
        </w:rPr>
        <w:t>3.4.8控制器应能够完整记录所有传感器数据，包括：方向盘转角、方向盘力矩、制动踏板力、制动踏板位移、油门踏板位移、车速和惯导系统所有通道信号。</w:t>
      </w:r>
    </w:p>
    <w:p>
      <w:pPr>
        <w:pStyle w:val="null3"/>
        <w:ind w:firstLine="480"/>
      </w:pPr>
      <w:r>
        <w:rPr>
          <w:rFonts w:ascii="宋体" w:hAnsi="宋体" w:cs="宋体" w:eastAsia="宋体"/>
          <w:sz w:val="24"/>
        </w:rPr>
        <w:t>3.4.9用户可以通过直观的脚本语言对操控装置的动作进行编程，支持用户二次开发自定义测试方案。</w:t>
      </w:r>
    </w:p>
    <w:p>
      <w:pPr>
        <w:pStyle w:val="null3"/>
        <w:ind w:firstLine="480"/>
      </w:pPr>
      <w:r>
        <w:rPr>
          <w:rFonts w:ascii="宋体" w:hAnsi="宋体" w:cs="宋体" w:eastAsia="宋体"/>
          <w:sz w:val="24"/>
        </w:rPr>
        <w:t>▲3.4.10控制器上应有LCD显示屏，可以监控各个机器人的工作状态和控制器内部的工作状态，包括温度、各部份供电电压等等，方便设备问题的诊断。</w:t>
      </w:r>
      <w:r>
        <w:rPr>
          <w:rFonts w:ascii="宋体" w:hAnsi="宋体" w:cs="宋体" w:eastAsia="宋体"/>
          <w:b/>
          <w:sz w:val="24"/>
        </w:rPr>
        <w:t>（提供控制器产品照片予以佐证）</w:t>
      </w:r>
    </w:p>
    <w:p>
      <w:pPr>
        <w:pStyle w:val="null3"/>
        <w:jc w:val="both"/>
      </w:pPr>
      <w:r>
        <w:rPr>
          <w:rFonts w:ascii="宋体" w:hAnsi="宋体" w:cs="宋体" w:eastAsia="宋体"/>
          <w:sz w:val="24"/>
        </w:rPr>
        <w:t>3.4.11软件支持后续设备改造升级用于商用车操纵稳定性试验的需求，能够提供整车操稳试验ISO标准项目模板，包括：单正弦、正弦增大、正弦减小、正弦扫频、正弦停滞、鱼钩试验、阶跃、脉冲、转角缓慢增加、驻车、双移线等。</w:t>
      </w:r>
    </w:p>
    <w:p>
      <w:pPr>
        <w:pStyle w:val="null3"/>
        <w:jc w:val="both"/>
        <w:outlineLvl w:val="2"/>
      </w:pPr>
      <w:r>
        <w:rPr>
          <w:b/>
          <w:sz w:val="28"/>
        </w:rPr>
        <w:t>三、商务要求（以“★”标示的内容为不允许负偏离的实质性要求）</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自合同签订之日起180日</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厦门市行政区域内招标人指定地点（中标人负责到货时卸货并搬运至招标人指定的实验室位置）</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经采购人验收合格后</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1、期次1，说明：说明：1.中标人提供设备的制造标准、安装标准及技术规范等有关资料必须符合国家相应的有关标准、规范要求。 2.仪器设备经计量校准合格后，招标人根据《招标文件》、中标人的《投标文件》、合同、制造厂商的产品验收标准及中华人民共和国有关标准进行验收。中标人对验收不合格的货物负有更换、退货的义务，由此产生的责任及费用由中标人承担。 3.中标人应向招标人提供完整的设备技术资料（纸质版及电子版），如：仪器设备出厂检验报告、合格证书、技术说明书、操作手册、维修保养手册及第三方计量检定机构的计量证书等材料。 4.招标人有权委托国内有检验资质的单位对设备的精度（软硬件）、性能进行复核。 5.中标人需编写验收大纲，按照验收大纲的要求完成相关验收工作，其结果需要得到招标人的认可。项目验收需要中标人和招标人双方联合进行。 6 .项目终验收在招标人现场进行，合同签署后3个月内完成。终验收前完成设备的所有交付和工程服务工作。</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1、合同生效后招标人支付中标人合同总金额的30%款项作为预付款，，达到付款条件起15日内，支付合同总金额的30.00%</w:t>
            </w:r>
          </w:p>
          <w:p>
            <w:pPr>
              <w:pStyle w:val="null3"/>
              <w:jc w:val="both"/>
            </w:pPr>
            <w:r>
              <w:rPr/>
              <w:t>2、全部仪器设备交货并经招标人验收合格后，中标人向招标人开具合同总金额的增值税专用发票，，达到付款条件起15日内，支付合同总金额的70.00%</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缴纳</w:t>
            </w:r>
            <w:r>
              <w:rPr/>
              <w:t>, 本采购包履约保证金为合同金额的3.0%</w:t>
            </w:r>
          </w:p>
          <w:p>
            <w:pPr>
              <w:pStyle w:val="null3"/>
              <w:jc w:val="both"/>
            </w:pPr>
            <w:r>
              <w:rPr/>
              <w:t>说明：由中标人在本项目合同签订生效后的 7 个工作日内提交至招标人，中标人可自行选择提交履约保证金的方式（银行汇款或保函或保单）。中标人逾期提交履约保证金的，视为放弃中标。质保期满后，若中标人无任何违约行为全额无息退回其履约保证金。</w:t>
            </w:r>
          </w:p>
        </w:tc>
      </w:tr>
    </w:tbl>
    <w:p>
      <w:pPr>
        <w:pStyle w:val="null3"/>
        <w:jc w:val="left"/>
      </w:pPr>
      <w:r>
        <w:rPr/>
        <w:t>其他商务要求</w:t>
      </w:r>
    </w:p>
    <w:p>
      <w:pPr>
        <w:pStyle w:val="null3"/>
        <w:ind w:firstLine="480"/>
        <w:jc w:val="left"/>
      </w:pPr>
      <w:r>
        <w:rPr>
          <w:rFonts w:ascii="宋体" w:hAnsi="宋体" w:cs="宋体" w:eastAsia="宋体"/>
          <w:sz w:val="24"/>
        </w:rPr>
        <w:t>★8.其他商务要求</w:t>
      </w:r>
    </w:p>
    <w:p>
      <w:pPr>
        <w:pStyle w:val="null3"/>
        <w:ind w:firstLine="482"/>
        <w:jc w:val="left"/>
      </w:pPr>
      <w:r>
        <w:rPr>
          <w:rFonts w:ascii="宋体" w:hAnsi="宋体" w:cs="宋体" w:eastAsia="宋体"/>
          <w:b/>
          <w:sz w:val="24"/>
        </w:rPr>
        <w:t>（</w:t>
      </w:r>
      <w:r>
        <w:rPr>
          <w:rFonts w:ascii="宋体" w:hAnsi="宋体" w:cs="宋体" w:eastAsia="宋体"/>
          <w:b/>
          <w:sz w:val="24"/>
        </w:rPr>
        <w:t>1）设备维修维护</w:t>
      </w:r>
    </w:p>
    <w:p>
      <w:pPr>
        <w:pStyle w:val="null3"/>
        <w:ind w:firstLine="480"/>
        <w:jc w:val="left"/>
      </w:pPr>
      <w:r>
        <w:rPr>
          <w:rFonts w:ascii="宋体" w:hAnsi="宋体" w:cs="宋体" w:eastAsia="宋体"/>
          <w:sz w:val="24"/>
        </w:rPr>
        <w:t>如有其他设备附件如维修包（或保养服务等），应注明已包含在项目清单。</w:t>
      </w:r>
    </w:p>
    <w:p>
      <w:pPr>
        <w:pStyle w:val="null3"/>
        <w:ind w:firstLine="480"/>
        <w:jc w:val="left"/>
      </w:pPr>
      <w:r>
        <w:rPr>
          <w:rFonts w:ascii="宋体" w:hAnsi="宋体" w:cs="宋体" w:eastAsia="宋体"/>
          <w:sz w:val="24"/>
        </w:rPr>
        <w:t>调试时如有易损件消耗品，则由中标人提供且已费用包含在报价中。</w:t>
      </w:r>
    </w:p>
    <w:p>
      <w:pPr>
        <w:pStyle w:val="null3"/>
        <w:ind w:firstLine="480"/>
        <w:jc w:val="left"/>
      </w:pPr>
      <w:r>
        <w:rPr>
          <w:rFonts w:ascii="宋体" w:hAnsi="宋体" w:cs="宋体" w:eastAsia="宋体"/>
          <w:sz w:val="24"/>
        </w:rPr>
        <w:t>所有仪器</w:t>
      </w:r>
      <w:r>
        <w:rPr>
          <w:rFonts w:ascii="宋体" w:hAnsi="宋体" w:cs="宋体" w:eastAsia="宋体"/>
          <w:sz w:val="24"/>
        </w:rPr>
        <w:t>/传感器需要提供溯源报告，即原厂出厂报告作为验收依据。</w:t>
      </w:r>
    </w:p>
    <w:p>
      <w:pPr>
        <w:pStyle w:val="null3"/>
        <w:ind w:firstLine="480"/>
        <w:jc w:val="left"/>
      </w:pPr>
      <w:r>
        <w:rPr>
          <w:rFonts w:ascii="宋体" w:hAnsi="宋体" w:cs="宋体" w:eastAsia="宋体"/>
          <w:sz w:val="24"/>
        </w:rPr>
        <w:t>设备需定期维护的部分，须具备良好的可操作性及拆装性，如果需使用定制工具的，该工具需由中标人一并提供且费用已包含在报价中；</w:t>
      </w:r>
    </w:p>
    <w:p>
      <w:pPr>
        <w:pStyle w:val="null3"/>
        <w:ind w:firstLine="480"/>
        <w:jc w:val="left"/>
      </w:pPr>
      <w:r>
        <w:rPr>
          <w:rFonts w:ascii="宋体" w:hAnsi="宋体" w:cs="宋体" w:eastAsia="宋体"/>
          <w:sz w:val="24"/>
        </w:rPr>
        <w:t>设备需定期维护的部分，须具备良好的可操作性及拆装性，如果需使用定制工具的，该工具需由中标人一并提供且费用已包含在报价中；</w:t>
      </w:r>
    </w:p>
    <w:p>
      <w:pPr>
        <w:pStyle w:val="null3"/>
        <w:ind w:firstLine="482"/>
        <w:jc w:val="left"/>
      </w:pPr>
      <w:r>
        <w:rPr>
          <w:rFonts w:ascii="宋体" w:hAnsi="宋体" w:cs="宋体" w:eastAsia="宋体"/>
          <w:b/>
          <w:sz w:val="24"/>
        </w:rPr>
        <w:t>（</w:t>
      </w:r>
      <w:r>
        <w:rPr>
          <w:rFonts w:ascii="宋体" w:hAnsi="宋体" w:cs="宋体" w:eastAsia="宋体"/>
          <w:b/>
          <w:sz w:val="24"/>
        </w:rPr>
        <w:t>2）安装与调试，售后服务：</w:t>
      </w:r>
    </w:p>
    <w:p>
      <w:pPr>
        <w:pStyle w:val="null3"/>
        <w:ind w:firstLine="482"/>
        <w:jc w:val="left"/>
      </w:pPr>
      <w:r>
        <w:rPr>
          <w:rFonts w:ascii="宋体" w:hAnsi="宋体" w:cs="宋体" w:eastAsia="宋体"/>
          <w:b/>
          <w:sz w:val="24"/>
        </w:rPr>
        <w:t>2.1安装和调试</w:t>
      </w:r>
    </w:p>
    <w:p>
      <w:pPr>
        <w:pStyle w:val="null3"/>
        <w:ind w:firstLine="480"/>
        <w:jc w:val="left"/>
      </w:pPr>
      <w:r>
        <w:rPr>
          <w:rFonts w:ascii="宋体" w:hAnsi="宋体" w:cs="宋体" w:eastAsia="宋体"/>
          <w:sz w:val="24"/>
        </w:rPr>
        <w:t>接到招标人通知的一周内安排至少</w:t>
      </w:r>
      <w:r>
        <w:rPr>
          <w:rFonts w:ascii="宋体" w:hAnsi="宋体" w:cs="宋体" w:eastAsia="宋体"/>
          <w:sz w:val="24"/>
        </w:rPr>
        <w:t>2 个技术人员到现场安装，并负责调试至合格。应在合同规定的安装调试期内完成该项工作。如因中标人责任而造成延期，所有因延期而产生的费用由中标人承担。</w:t>
      </w:r>
    </w:p>
    <w:p>
      <w:pPr>
        <w:pStyle w:val="null3"/>
        <w:ind w:firstLine="482"/>
        <w:jc w:val="left"/>
      </w:pPr>
      <w:r>
        <w:rPr>
          <w:rFonts w:ascii="宋体" w:hAnsi="宋体" w:cs="宋体" w:eastAsia="宋体"/>
          <w:b/>
          <w:sz w:val="24"/>
        </w:rPr>
        <w:t>2.2技术培训</w:t>
      </w:r>
    </w:p>
    <w:p>
      <w:pPr>
        <w:pStyle w:val="null3"/>
        <w:ind w:firstLine="480"/>
        <w:jc w:val="left"/>
      </w:pPr>
      <w:r>
        <w:rPr>
          <w:rFonts w:ascii="宋体" w:hAnsi="宋体" w:cs="宋体" w:eastAsia="宋体"/>
          <w:sz w:val="24"/>
        </w:rPr>
        <w:t>安装验收完毕后一个月内，中标人派技术工程师对招标人至少</w:t>
      </w:r>
      <w:r>
        <w:rPr>
          <w:rFonts w:ascii="宋体" w:hAnsi="宋体" w:cs="宋体" w:eastAsia="宋体"/>
          <w:sz w:val="24"/>
        </w:rPr>
        <w:t>2 人进行技术培训，内容包括：基本理论、原理、仪器设备的操作、配套软件的使用、仪器设备的维护、安全要点以及其他相关内容，确保招标人操作人员达到下列要求：确保操作人员能熟练使用仪器设备，并能独立排除一般故障；了解仪器设备的结构及工作原理。中标人提供详细的培训课程讲义及培训进度计划表。</w:t>
      </w:r>
    </w:p>
    <w:p>
      <w:pPr>
        <w:pStyle w:val="null3"/>
        <w:ind w:firstLine="480"/>
        <w:jc w:val="left"/>
      </w:pPr>
      <w:r>
        <w:rPr>
          <w:rFonts w:ascii="宋体" w:hAnsi="宋体" w:cs="宋体" w:eastAsia="宋体"/>
          <w:sz w:val="24"/>
        </w:rPr>
        <w:t>在设备安装现场进行不少于</w:t>
      </w:r>
      <w:r>
        <w:rPr>
          <w:rFonts w:ascii="宋体" w:hAnsi="宋体" w:cs="宋体" w:eastAsia="宋体"/>
          <w:sz w:val="24"/>
        </w:rPr>
        <w:t>10个工作日的设备使用培训，培训包括技术培训和维护培训。中标人应提供详细培训计划和相应培训资料。如涉及国外工程师授课，中标人应提供翻译工作；</w:t>
      </w:r>
    </w:p>
    <w:p>
      <w:pPr>
        <w:pStyle w:val="null3"/>
        <w:ind w:firstLine="480"/>
        <w:jc w:val="left"/>
      </w:pPr>
      <w:r>
        <w:rPr>
          <w:rFonts w:ascii="宋体" w:hAnsi="宋体" w:cs="宋体" w:eastAsia="宋体"/>
          <w:sz w:val="24"/>
        </w:rPr>
        <w:t>技术培训内容包括工具功能操作，系统及设备的测试运行操作，环境搭建、调试方法等；维修保养培训内容包括设备常见、简易故障的判别、排除及调整等；</w:t>
      </w:r>
    </w:p>
    <w:p>
      <w:pPr>
        <w:pStyle w:val="null3"/>
        <w:ind w:firstLine="480"/>
        <w:jc w:val="left"/>
      </w:pPr>
      <w:r>
        <w:rPr>
          <w:rFonts w:ascii="宋体" w:hAnsi="宋体" w:cs="宋体" w:eastAsia="宋体"/>
          <w:sz w:val="24"/>
        </w:rPr>
        <w:t>培训形式：</w:t>
      </w:r>
    </w:p>
    <w:p>
      <w:pPr>
        <w:pStyle w:val="null3"/>
        <w:ind w:firstLine="480"/>
        <w:jc w:val="left"/>
      </w:pPr>
      <w:r>
        <w:rPr>
          <w:rFonts w:ascii="宋体" w:hAnsi="宋体" w:cs="宋体" w:eastAsia="宋体"/>
          <w:sz w:val="24"/>
        </w:rPr>
        <w:t>a. 设备使用培训采用集中式培训形式，中标人须选择优秀的、有资质的专家工程师作为授课教师，进行设备专业化培训；</w:t>
      </w:r>
    </w:p>
    <w:p>
      <w:pPr>
        <w:pStyle w:val="null3"/>
        <w:ind w:firstLine="480"/>
        <w:jc w:val="left"/>
      </w:pPr>
      <w:r>
        <w:rPr>
          <w:rFonts w:ascii="宋体" w:hAnsi="宋体" w:cs="宋体" w:eastAsia="宋体"/>
          <w:sz w:val="24"/>
        </w:rPr>
        <w:t>b. 中标人须提前3个工作日提出培训通知，并提前发送相关资料；</w:t>
      </w:r>
    </w:p>
    <w:p>
      <w:pPr>
        <w:pStyle w:val="null3"/>
        <w:ind w:firstLine="480"/>
        <w:jc w:val="left"/>
      </w:pPr>
      <w:r>
        <w:rPr>
          <w:rFonts w:ascii="宋体" w:hAnsi="宋体" w:cs="宋体" w:eastAsia="宋体"/>
          <w:sz w:val="24"/>
        </w:rPr>
        <w:t>c. 培训分为教室授课和现场讲解两部分。其中，教室授课，中标人须针对设备系统功能培训，其内容须涵盖并与交付招标人资料的内容保持一致。现场讲解，设备中标人须针对该设备的测试内容和要点，测试重难点部分进行现场操作、指点性讲解、学员操作等。</w:t>
      </w:r>
    </w:p>
    <w:p>
      <w:pPr>
        <w:pStyle w:val="null3"/>
        <w:ind w:firstLine="480"/>
        <w:jc w:val="left"/>
      </w:pPr>
      <w:r>
        <w:rPr>
          <w:rFonts w:ascii="宋体" w:hAnsi="宋体" w:cs="宋体" w:eastAsia="宋体"/>
          <w:sz w:val="24"/>
        </w:rPr>
        <w:t>培训内容</w:t>
      </w:r>
      <w:r>
        <w:rPr>
          <w:rFonts w:ascii="宋体" w:hAnsi="宋体" w:cs="宋体" w:eastAsia="宋体"/>
          <w:sz w:val="24"/>
        </w:rPr>
        <w:t>:</w:t>
      </w:r>
    </w:p>
    <w:p>
      <w:pPr>
        <w:pStyle w:val="null3"/>
        <w:ind w:firstLine="480"/>
        <w:jc w:val="left"/>
      </w:pPr>
      <w:r>
        <w:rPr>
          <w:rFonts w:ascii="宋体" w:hAnsi="宋体" w:cs="宋体" w:eastAsia="宋体"/>
          <w:sz w:val="24"/>
        </w:rPr>
        <w:t>1）硬件系统培训：</w:t>
      </w:r>
    </w:p>
    <w:p>
      <w:pPr>
        <w:pStyle w:val="null3"/>
        <w:ind w:firstLine="480"/>
        <w:jc w:val="left"/>
      </w:pPr>
      <w:r>
        <w:rPr>
          <w:rFonts w:ascii="宋体" w:hAnsi="宋体" w:cs="宋体" w:eastAsia="宋体"/>
          <w:sz w:val="24"/>
        </w:rPr>
        <w:t>a. 硬件系统培训应包含总体讲解（总体框图、总体原理图、功能图）。讲解设备系统的总体架构，各子模块功能，各子模块之间的机械连接、电气连接关系；</w:t>
      </w:r>
    </w:p>
    <w:p>
      <w:pPr>
        <w:pStyle w:val="null3"/>
        <w:ind w:firstLine="480"/>
        <w:jc w:val="left"/>
      </w:pPr>
      <w:r>
        <w:rPr>
          <w:rFonts w:ascii="宋体" w:hAnsi="宋体" w:cs="宋体" w:eastAsia="宋体"/>
          <w:sz w:val="24"/>
        </w:rPr>
        <w:t>b. 硬件设备的运行操作、维修、保养、校准操作、简易故障判别及排除等。</w:t>
      </w:r>
    </w:p>
    <w:p>
      <w:pPr>
        <w:pStyle w:val="null3"/>
        <w:ind w:firstLine="480"/>
        <w:jc w:val="left"/>
      </w:pPr>
      <w:r>
        <w:rPr>
          <w:rFonts w:ascii="宋体" w:hAnsi="宋体" w:cs="宋体" w:eastAsia="宋体"/>
          <w:sz w:val="24"/>
        </w:rPr>
        <w:t>2）软件培训：</w:t>
      </w:r>
    </w:p>
    <w:p>
      <w:pPr>
        <w:pStyle w:val="null3"/>
        <w:ind w:firstLine="480"/>
        <w:jc w:val="left"/>
      </w:pPr>
      <w:r>
        <w:rPr>
          <w:rFonts w:ascii="宋体" w:hAnsi="宋体" w:cs="宋体" w:eastAsia="宋体"/>
          <w:sz w:val="24"/>
        </w:rPr>
        <w:t>a. 软件操作介绍。软件各模块的功能说明，各界面的操作、跳转等；</w:t>
      </w:r>
    </w:p>
    <w:p>
      <w:pPr>
        <w:pStyle w:val="null3"/>
        <w:ind w:firstLine="480"/>
        <w:jc w:val="left"/>
      </w:pPr>
      <w:r>
        <w:rPr>
          <w:rFonts w:ascii="宋体" w:hAnsi="宋体" w:cs="宋体" w:eastAsia="宋体"/>
          <w:sz w:val="24"/>
        </w:rPr>
        <w:t>b. 工程介绍。工程文件构成，代码说明，操作说明。</w:t>
      </w:r>
    </w:p>
    <w:p>
      <w:pPr>
        <w:pStyle w:val="null3"/>
        <w:ind w:firstLine="480"/>
        <w:jc w:val="left"/>
      </w:pPr>
      <w:r>
        <w:rPr>
          <w:rFonts w:ascii="宋体" w:hAnsi="宋体" w:cs="宋体" w:eastAsia="宋体"/>
          <w:sz w:val="24"/>
        </w:rPr>
        <w:t>3）测试系统实操培训：</w:t>
      </w:r>
    </w:p>
    <w:p>
      <w:pPr>
        <w:pStyle w:val="null3"/>
        <w:ind w:firstLine="480"/>
        <w:jc w:val="left"/>
      </w:pPr>
      <w:r>
        <w:rPr>
          <w:rFonts w:ascii="宋体" w:hAnsi="宋体" w:cs="宋体" w:eastAsia="宋体"/>
          <w:sz w:val="24"/>
        </w:rPr>
        <w:t>a. 系统结构。介绍系统组成，各组件连接关系，对外连接接口说明；</w:t>
      </w:r>
    </w:p>
    <w:p>
      <w:pPr>
        <w:pStyle w:val="null3"/>
        <w:ind w:firstLine="480"/>
        <w:jc w:val="left"/>
      </w:pPr>
      <w:r>
        <w:rPr>
          <w:rFonts w:ascii="宋体" w:hAnsi="宋体" w:cs="宋体" w:eastAsia="宋体"/>
          <w:sz w:val="24"/>
        </w:rPr>
        <w:t>b. 各部件介绍。每个硬件的功能介绍，使用介绍，操作说明；</w:t>
      </w:r>
    </w:p>
    <w:p>
      <w:pPr>
        <w:pStyle w:val="null3"/>
        <w:ind w:firstLine="480"/>
        <w:jc w:val="left"/>
      </w:pPr>
      <w:r>
        <w:rPr>
          <w:rFonts w:ascii="宋体" w:hAnsi="宋体" w:cs="宋体" w:eastAsia="宋体"/>
          <w:sz w:val="24"/>
        </w:rPr>
        <w:t>c. 系统实操。中标人应向招标人详细讲解和演示系统实操过程（如招标人需要，则应提供测试所需靶机以供工具教学演示说明），直至招标人掌握独立测试的能力。</w:t>
      </w:r>
    </w:p>
    <w:p>
      <w:pPr>
        <w:pStyle w:val="null3"/>
        <w:ind w:firstLine="482"/>
        <w:jc w:val="left"/>
      </w:pPr>
      <w:r>
        <w:rPr>
          <w:rFonts w:ascii="宋体" w:hAnsi="宋体" w:cs="宋体" w:eastAsia="宋体"/>
          <w:b/>
          <w:sz w:val="24"/>
        </w:rPr>
        <w:t>2.3维保服务</w:t>
      </w:r>
    </w:p>
    <w:p>
      <w:pPr>
        <w:pStyle w:val="null3"/>
        <w:ind w:firstLine="480"/>
        <w:jc w:val="left"/>
      </w:pPr>
      <w:r>
        <w:rPr>
          <w:rFonts w:ascii="宋体" w:hAnsi="宋体" w:cs="宋体" w:eastAsia="宋体"/>
          <w:sz w:val="24"/>
        </w:rPr>
        <w:t>2.3.1本项目质保期不低</w:t>
      </w:r>
      <w:r>
        <w:rPr>
          <w:rFonts w:ascii="宋体" w:hAnsi="宋体" w:cs="宋体" w:eastAsia="宋体"/>
          <w:sz w:val="24"/>
        </w:rPr>
        <w:t>于</w:t>
      </w:r>
      <w:r>
        <w:rPr>
          <w:rFonts w:ascii="宋体" w:hAnsi="宋体" w:cs="宋体" w:eastAsia="宋体"/>
          <w:sz w:val="24"/>
        </w:rPr>
        <w:t>2</w:t>
      </w:r>
      <w:r>
        <w:rPr>
          <w:rFonts w:ascii="宋体" w:hAnsi="宋体" w:cs="宋体" w:eastAsia="宋体"/>
          <w:sz w:val="24"/>
        </w:rPr>
        <w:t>年。</w:t>
      </w:r>
      <w:r>
        <w:rPr>
          <w:rFonts w:ascii="宋体" w:hAnsi="宋体" w:cs="宋体" w:eastAsia="宋体"/>
          <w:sz w:val="24"/>
        </w:rPr>
        <w:t>保修期自双方代表在设备安装调试后的移交证明文件上签字之日起计算。质保期内中标人提供一切免费维修服务和免费更换损坏的零部件。</w:t>
      </w:r>
    </w:p>
    <w:p>
      <w:pPr>
        <w:pStyle w:val="null3"/>
        <w:ind w:firstLine="480"/>
        <w:jc w:val="left"/>
      </w:pPr>
      <w:r>
        <w:rPr>
          <w:rFonts w:ascii="宋体" w:hAnsi="宋体" w:cs="宋体" w:eastAsia="宋体"/>
          <w:sz w:val="24"/>
        </w:rPr>
        <w:t>2.3.2在保修期内接到故障电话后即时响应，1小时内电话响应，12小时内到达，24小时内修复，对于在24小时内无法解决的故障问题应提供备用方案或备件。经专业维修工程师诊断、分析，确定设备故障所在，需要更换配件的，需提供详实的维修方案，并注明更换配件的品牌、型号等关键信息，征得招标人同意方可进行更换、维修。</w:t>
      </w:r>
    </w:p>
    <w:p>
      <w:pPr>
        <w:pStyle w:val="null3"/>
        <w:ind w:firstLine="480"/>
        <w:jc w:val="left"/>
      </w:pPr>
      <w:r>
        <w:rPr>
          <w:rFonts w:ascii="宋体" w:hAnsi="宋体" w:cs="宋体" w:eastAsia="宋体"/>
          <w:sz w:val="24"/>
        </w:rPr>
        <w:t>2.3.3质保期过后，中标人负责对所提供设备终身维修及提供技术咨询，备有所提供设备的备件及消耗品，中标人不收取交通费、住宿费、人工费，只收取更换零部件的成本费用。</w:t>
      </w:r>
    </w:p>
    <w:p>
      <w:pPr>
        <w:pStyle w:val="null3"/>
        <w:ind w:firstLine="482"/>
        <w:jc w:val="left"/>
      </w:pPr>
      <w:r>
        <w:rPr>
          <w:rFonts w:ascii="宋体" w:hAnsi="宋体" w:cs="宋体" w:eastAsia="宋体"/>
          <w:b/>
          <w:sz w:val="24"/>
        </w:rPr>
        <w:t>（</w:t>
      </w:r>
      <w:r>
        <w:rPr>
          <w:rFonts w:ascii="宋体" w:hAnsi="宋体" w:cs="宋体" w:eastAsia="宋体"/>
          <w:b/>
          <w:sz w:val="24"/>
        </w:rPr>
        <w:t>3）违约责任：</w:t>
      </w:r>
    </w:p>
    <w:p>
      <w:pPr>
        <w:pStyle w:val="null3"/>
        <w:ind w:firstLine="482"/>
        <w:jc w:val="left"/>
      </w:pPr>
      <w:r>
        <w:rPr>
          <w:rFonts w:ascii="宋体" w:hAnsi="宋体" w:cs="宋体" w:eastAsia="宋体"/>
          <w:b/>
          <w:sz w:val="24"/>
        </w:rPr>
        <w:t>3.1未按期交货的违约责任</w:t>
      </w:r>
    </w:p>
    <w:p>
      <w:pPr>
        <w:pStyle w:val="null3"/>
        <w:ind w:firstLine="480"/>
        <w:jc w:val="left"/>
      </w:pPr>
      <w:r>
        <w:rPr>
          <w:rFonts w:ascii="宋体" w:hAnsi="宋体" w:cs="宋体" w:eastAsia="宋体"/>
          <w:sz w:val="24"/>
        </w:rPr>
        <w:t>3.1.1若中标人未按照合同约定时间或招标人予以宽限的时间内（事先取得招标人同意）交付标的货物，招标人有权要求中标人赔偿。赔偿金额按延迟交付标的金额的0.1%/日计算，违约金总额不超过标的金额的5% 。</w:t>
      </w:r>
    </w:p>
    <w:p>
      <w:pPr>
        <w:pStyle w:val="null3"/>
        <w:ind w:firstLine="480"/>
        <w:jc w:val="left"/>
      </w:pPr>
      <w:r>
        <w:rPr>
          <w:rFonts w:ascii="宋体" w:hAnsi="宋体" w:cs="宋体" w:eastAsia="宋体"/>
          <w:sz w:val="24"/>
        </w:rPr>
        <w:t>3.1.2中标人交付货物的品质、性能、技术标准、质量要求不符合合同约定的，招标人有权向中标人提出更换或退货，且由中标人承担一切更换货物或退货引起的相关费用。</w:t>
      </w:r>
    </w:p>
    <w:p>
      <w:pPr>
        <w:pStyle w:val="null3"/>
        <w:ind w:firstLine="482"/>
        <w:jc w:val="left"/>
      </w:pPr>
      <w:r>
        <w:rPr>
          <w:rFonts w:ascii="宋体" w:hAnsi="宋体" w:cs="宋体" w:eastAsia="宋体"/>
          <w:b/>
          <w:sz w:val="24"/>
        </w:rPr>
        <w:t>3.2违约终止合同</w:t>
      </w:r>
    </w:p>
    <w:p>
      <w:pPr>
        <w:pStyle w:val="null3"/>
        <w:ind w:firstLine="480"/>
        <w:jc w:val="left"/>
      </w:pPr>
      <w:r>
        <w:rPr>
          <w:rFonts w:ascii="宋体" w:hAnsi="宋体" w:cs="宋体" w:eastAsia="宋体"/>
          <w:sz w:val="24"/>
        </w:rPr>
        <w:t>3.2.1在补救违约而采取的任何其他措施未能实现的情况下，即在招标人发出的违约通知后30天内（或经招标人书面确认的更长时间内）仍未纠正其下述任何一种违约行为，招标人有权向中标人发出书面违约通知，招标人终止本合同：</w:t>
      </w:r>
    </w:p>
    <w:p>
      <w:pPr>
        <w:pStyle w:val="null3"/>
        <w:ind w:firstLine="480"/>
        <w:jc w:val="left"/>
      </w:pPr>
      <w:r>
        <w:rPr>
          <w:rFonts w:ascii="宋体" w:hAnsi="宋体" w:cs="宋体" w:eastAsia="宋体"/>
          <w:sz w:val="24"/>
        </w:rPr>
        <w:t>3.2.2如果中标人未能在合同规定的期限内或双方另行确定的延期交货时间内交付合同约定的货物。</w:t>
      </w:r>
    </w:p>
    <w:p>
      <w:pPr>
        <w:pStyle w:val="null3"/>
        <w:ind w:firstLine="480"/>
        <w:jc w:val="left"/>
      </w:pPr>
      <w:r>
        <w:rPr>
          <w:rFonts w:ascii="宋体" w:hAnsi="宋体" w:cs="宋体" w:eastAsia="宋体"/>
          <w:sz w:val="24"/>
        </w:rPr>
        <w:t>3.2.3中标人未能履行合同项下的任何其它义务。</w:t>
      </w:r>
    </w:p>
    <w:p>
      <w:pPr>
        <w:pStyle w:val="null3"/>
        <w:ind w:firstLine="480"/>
        <w:jc w:val="left"/>
      </w:pPr>
      <w:r>
        <w:rPr>
          <w:rFonts w:ascii="宋体" w:hAnsi="宋体" w:cs="宋体" w:eastAsia="宋体"/>
          <w:sz w:val="24"/>
        </w:rPr>
        <w:t>3.3招标人未能如期付款，应事先取得中标人同意。</w:t>
      </w:r>
    </w:p>
    <w:p>
      <w:pPr>
        <w:pStyle w:val="null3"/>
        <w:ind w:firstLine="482"/>
        <w:jc w:val="left"/>
      </w:pPr>
      <w:r>
        <w:rPr>
          <w:rFonts w:ascii="宋体" w:hAnsi="宋体" w:cs="宋体" w:eastAsia="宋体"/>
          <w:b/>
          <w:sz w:val="24"/>
        </w:rPr>
        <w:t>（</w:t>
      </w:r>
      <w:r>
        <w:rPr>
          <w:rFonts w:ascii="宋体" w:hAnsi="宋体" w:cs="宋体" w:eastAsia="宋体"/>
          <w:b/>
          <w:sz w:val="24"/>
        </w:rPr>
        <w:t>4）知识产权：</w:t>
      </w:r>
    </w:p>
    <w:p>
      <w:pPr>
        <w:pStyle w:val="null3"/>
        <w:ind w:firstLine="480"/>
        <w:jc w:val="left"/>
      </w:pPr>
      <w:r>
        <w:rPr>
          <w:rFonts w:ascii="宋体" w:hAnsi="宋体" w:cs="宋体" w:eastAsia="宋体"/>
          <w:sz w:val="24"/>
        </w:rPr>
        <w:t>中标人提供的采购标的应符合国家知识产权法律、法规的规定且非假冒伪劣品；中标人还应保证招标人不受到第三方关于侵犯知识产权及专利权、商标权或工业设计权等知识产权方面的指控，任何第三方如果提出此方面指控均与招标人无关，中标人应与第三方交涉，并承担可能发生的一切法律责任、费用和后果；若招标人因此而遭致损失，则中标人应赔偿该损失。</w:t>
      </w:r>
    </w:p>
    <w:p>
      <w:pPr>
        <w:pStyle w:val="null3"/>
        <w:ind w:firstLine="480"/>
        <w:jc w:val="left"/>
      </w:pPr>
      <w:r>
        <w:rPr>
          <w:rFonts w:ascii="宋体" w:hAnsi="宋体" w:cs="宋体" w:eastAsia="宋体"/>
          <w:sz w:val="24"/>
        </w:rPr>
        <w:t>若中标人提供的采购标的不符合国家知识产权法律、法规的规定或被有关主管机关认定为假冒伪劣品，则中标人中标资格将被取消；招标人还将按照有关法律、法规和规章的规定进行处理，具体如下：按有关法律、法规和规章的规定追究其违约责任。</w:t>
      </w:r>
    </w:p>
    <w:p>
      <w:pPr>
        <w:pStyle w:val="null3"/>
        <w:ind w:firstLine="482"/>
        <w:jc w:val="left"/>
      </w:pPr>
      <w:r>
        <w:rPr>
          <w:rFonts w:ascii="宋体" w:hAnsi="宋体" w:cs="宋体" w:eastAsia="宋体"/>
          <w:b/>
          <w:sz w:val="24"/>
        </w:rPr>
        <w:t>（</w:t>
      </w:r>
      <w:r>
        <w:rPr>
          <w:rFonts w:ascii="宋体" w:hAnsi="宋体" w:cs="宋体" w:eastAsia="宋体"/>
          <w:b/>
          <w:sz w:val="24"/>
        </w:rPr>
        <w:t>5）不可抗力：</w:t>
      </w:r>
    </w:p>
    <w:p>
      <w:pPr>
        <w:pStyle w:val="null3"/>
        <w:ind w:firstLine="480"/>
        <w:jc w:val="left"/>
      </w:pPr>
      <w:r>
        <w:rPr>
          <w:rFonts w:ascii="宋体" w:hAnsi="宋体" w:cs="宋体" w:eastAsia="宋体"/>
          <w:sz w:val="24"/>
        </w:rPr>
        <w:t>因不可抗力造成违约的，遭受不可抗力一方应及时向对方通报不能履行或不能完全履行的理由，并在随后取得有关主管机关证明后的</w:t>
      </w:r>
      <w:r>
        <w:rPr>
          <w:rFonts w:ascii="宋体" w:hAnsi="宋体" w:cs="宋体" w:eastAsia="宋体"/>
          <w:sz w:val="24"/>
        </w:rPr>
        <w:t>15 日内向另一方提供不可抗力发生及持续期间的充分证据。基于以上行为，允许遭受不可抗力一方延期履行、部分履行或不履行合同，并根据情况可部分或全部免于承担违约责任。</w:t>
      </w:r>
    </w:p>
    <w:p>
      <w:pPr>
        <w:pStyle w:val="null3"/>
        <w:ind w:firstLine="480"/>
        <w:jc w:val="both"/>
      </w:pPr>
      <w:r>
        <w:rPr>
          <w:rFonts w:ascii="宋体" w:hAnsi="宋体" w:cs="宋体" w:eastAsia="宋体"/>
          <w:sz w:val="24"/>
        </w:rPr>
        <w:t>本合同中的不可抗力指不能预见、不能避免、不能克服的客观情况，包括但不限于：自然灾害如地震、台风、洪水、火灾及政府行为、法律规定或其适用的变化或其他任何无法预见、避免或控制的事件。</w:t>
      </w:r>
    </w:p>
    <w:p>
      <w:pPr>
        <w:pStyle w:val="null3"/>
        <w:jc w:val="both"/>
        <w:outlineLvl w:val="2"/>
      </w:pPr>
      <w:r>
        <w:rPr>
          <w:b/>
          <w:sz w:val="28"/>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符合财库〔2020〕46号、财库〔2014〕68号及财库〔2017〕141号规定的监狱企业、残疾人福利性单位（以下简称：“残疾人福利性单位”），可享受本项目的扶持政策（如：预留采购份额、价格评审优惠、优先采购）。</w:t>
      </w:r>
    </w:p>
    <w:p>
      <w:pPr>
        <w:pStyle w:val="null3"/>
      </w:pPr>
      <w:r>
        <w:rPr/>
        <w:t xml:space="preserve"> </w:t>
        <w:br/>
        <w:br w:type="page"/>
      </w:r>
    </w:p>
    <w:p>
      <w:pPr>
        <w:pStyle w:val="null3"/>
        <w:jc w:val="center"/>
        <w:outlineLvl w:val="1"/>
      </w:pPr>
      <w:r>
        <w:rPr>
          <w:b/>
          <w:sz w:val="36"/>
        </w:rPr>
        <w:t>第六章 政府采购合同</w:t>
      </w:r>
    </w:p>
    <w:p>
      <w:pPr>
        <w:pStyle w:val="null3"/>
        <w:jc w:val="center"/>
        <w:outlineLvl w:val="2"/>
      </w:pPr>
      <w:r>
        <w:rPr>
          <w:b/>
          <w:sz w:val="28"/>
        </w:rPr>
        <w:t>参考文本</w:t>
      </w:r>
    </w:p>
    <w:p>
      <w:pPr>
        <w:pStyle w:val="null3"/>
        <w:jc w:val="left"/>
      </w:pPr>
      <w:r>
        <w:rPr/>
        <w:t>合同编号：</w:t>
      </w:r>
    </w:p>
    <w:p>
      <w:pPr>
        <w:pStyle w:val="null3"/>
        <w:jc w:val="center"/>
        <w:outlineLvl w:val="1"/>
      </w:pPr>
      <w:r>
        <w:rPr>
          <w:b/>
          <w:sz w:val="36"/>
        </w:rPr>
        <w:t xml:space="preserve"> 福建省政府采购合同（货物类）</w:t>
      </w:r>
    </w:p>
    <w:p>
      <w:pPr>
        <w:pStyle w:val="null3"/>
        <w:jc w:val="center"/>
        <w:outlineLvl w:val="3"/>
      </w:pPr>
      <w:r>
        <w:rPr>
          <w:b/>
          <w:sz w:val="24"/>
        </w:rPr>
        <w:t>编制说明</w:t>
      </w:r>
      <w:r>
        <w:br/>
      </w:r>
    </w:p>
    <w:p>
      <w:pPr>
        <w:pStyle w:val="null3"/>
        <w:jc w:val="left"/>
        <w:outlineLvl w:val="3"/>
      </w:pPr>
      <w:r>
        <w:rPr>
          <w:b/>
          <w:sz w:val="24"/>
        </w:rPr>
        <w:t xml:space="preserve"> 1.签订合同应遵守《中华人民共和国政府采购法》及其实施条例、《中华人民共和国民法典》等法律法规及其他有关规定。</w:t>
      </w:r>
    </w:p>
    <w:p>
      <w:pPr>
        <w:pStyle w:val="null3"/>
        <w:jc w:val="left"/>
        <w:outlineLvl w:val="3"/>
      </w:pPr>
      <w:r>
        <w:rPr>
          <w:b/>
          <w:sz w:val="24"/>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b/>
          <w:sz w:val="24"/>
        </w:rPr>
        <w:t xml:space="preserve"> 3.政府有关主管部门对若干合同有规范文本的，可使用相应合同文本。</w:t>
      </w:r>
    </w:p>
    <w:p>
      <w:pPr>
        <w:pStyle w:val="null3"/>
        <w:jc w:val="left"/>
        <w:outlineLvl w:val="3"/>
      </w:pPr>
      <w:r>
        <w:rPr>
          <w:b/>
          <w:sz w:val="24"/>
        </w:rPr>
        <w:t xml:space="preserve"> 4.本合同范本仅供参考，采购人应当根据采购项目的实际需求对合同条款进行修改、补充。</w:t>
      </w:r>
    </w:p>
    <w:p>
      <w:pPr>
        <w:pStyle w:val="null3"/>
        <w:ind w:left="0"/>
        <w:jc w:val="left"/>
      </w:pPr>
      <w:r>
        <w:rPr/>
        <w:t xml:space="preserve">甲方： </w:t>
      </w:r>
      <w:r>
        <w:rPr/>
        <w:t>___________</w:t>
      </w:r>
    </w:p>
    <w:p>
      <w:pPr>
        <w:pStyle w:val="null3"/>
        <w:jc w:val="left"/>
      </w:pPr>
      <w:r>
        <w:rPr/>
        <w:t xml:space="preserve">住所地： </w:t>
      </w:r>
      <w:r>
        <w:rPr/>
        <w:t>___________</w:t>
      </w:r>
    </w:p>
    <w:p>
      <w:pPr>
        <w:pStyle w:val="null3"/>
        <w:jc w:val="left"/>
      </w:pPr>
      <w:r>
        <w:rPr/>
        <w:t xml:space="preserve">联系人： </w:t>
      </w:r>
      <w:r>
        <w:rPr/>
        <w:t>___________</w:t>
      </w:r>
    </w:p>
    <w:p>
      <w:pPr>
        <w:pStyle w:val="null3"/>
        <w:jc w:val="left"/>
      </w:pPr>
      <w:r>
        <w:rPr/>
        <w:t>联系电话：</w:t>
      </w:r>
      <w:r>
        <w:rPr/>
        <w:t>___________</w:t>
      </w:r>
    </w:p>
    <w:p>
      <w:pPr>
        <w:pStyle w:val="null3"/>
        <w:jc w:val="left"/>
      </w:pPr>
      <w:r>
        <w:rPr/>
        <w:t>传真：</w:t>
      </w:r>
      <w:r>
        <w:rPr/>
        <w:t>___________</w:t>
      </w:r>
    </w:p>
    <w:p>
      <w:pPr>
        <w:pStyle w:val="null3"/>
        <w:jc w:val="left"/>
      </w:pPr>
      <w:r>
        <w:rPr/>
        <w:t>电子邮箱：</w:t>
      </w:r>
      <w:r>
        <w:rPr/>
        <w:t>___________</w:t>
      </w:r>
      <w:r>
        <w:br/>
      </w:r>
    </w:p>
    <w:p>
      <w:pPr>
        <w:pStyle w:val="null3"/>
        <w:ind w:left="0"/>
        <w:jc w:val="left"/>
      </w:pPr>
      <w:r>
        <w:rPr/>
        <w:t xml:space="preserve"> 乙方： </w:t>
      </w:r>
      <w:r>
        <w:rPr/>
        <w:t>___________</w:t>
      </w:r>
    </w:p>
    <w:p>
      <w:pPr>
        <w:pStyle w:val="null3"/>
        <w:jc w:val="left"/>
      </w:pPr>
      <w:r>
        <w:rPr/>
        <w:t xml:space="preserve"> 住所地： </w:t>
      </w:r>
      <w:r>
        <w:rPr/>
        <w:t>___________</w:t>
      </w:r>
    </w:p>
    <w:p>
      <w:pPr>
        <w:pStyle w:val="null3"/>
        <w:jc w:val="left"/>
      </w:pPr>
      <w:r>
        <w:rPr/>
        <w:t xml:space="preserve"> 联系人：</w:t>
      </w:r>
      <w:r>
        <w:rPr/>
        <w:t>___________</w:t>
      </w:r>
    </w:p>
    <w:p>
      <w:pPr>
        <w:pStyle w:val="null3"/>
        <w:jc w:val="left"/>
      </w:pPr>
      <w:r>
        <w:rPr/>
        <w:t xml:space="preserve"> 联系电话：</w:t>
      </w:r>
      <w:r>
        <w:rPr/>
        <w:t>___________</w:t>
      </w:r>
    </w:p>
    <w:p>
      <w:pPr>
        <w:pStyle w:val="null3"/>
        <w:jc w:val="left"/>
      </w:pPr>
      <w:r>
        <w:rPr/>
        <w:t xml:space="preserve"> 传真：</w:t>
      </w:r>
      <w:r>
        <w:rPr/>
        <w:t>___________</w:t>
      </w:r>
    </w:p>
    <w:p>
      <w:pPr>
        <w:pStyle w:val="null3"/>
        <w:jc w:val="left"/>
      </w:pPr>
      <w:r>
        <w:rPr/>
        <w:t xml:space="preserve"> 电子邮箱：</w:t>
      </w:r>
      <w:r>
        <w:rPr/>
        <w:t>___________</w:t>
      </w:r>
    </w:p>
    <w:p>
      <w:pPr>
        <w:pStyle w:val="null3"/>
        <w:jc w:val="left"/>
      </w:pPr>
      <w:r>
        <w:rPr/>
        <w:t>根据项目编号为</w:t>
      </w:r>
      <w:r>
        <w:rPr/>
        <w:t>________</w:t>
      </w:r>
      <w:r>
        <w:rPr/>
        <w:t xml:space="preserve"> 的 </w:t>
      </w:r>
      <w:r>
        <w:rPr/>
        <w:t>___________</w:t>
      </w:r>
      <w:r>
        <w:rPr/>
        <w:t>项目（以下简称：“本项目”）的采购结果，遵循平等、自愿、公平和诚实信用的原则，双方签署本合同，具体内容如下：</w:t>
      </w:r>
    </w:p>
    <w:p>
      <w:pPr>
        <w:pStyle w:val="null3"/>
        <w:jc w:val="left"/>
        <w:outlineLvl w:val="3"/>
      </w:pPr>
      <w:r>
        <w:rPr>
          <w:b/>
          <w:sz w:val="24"/>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b/>
          <w:sz w:val="24"/>
        </w:rPr>
        <w:t xml:space="preserve"> 二、合同标的</w:t>
      </w:r>
      <w:r>
        <w:br/>
      </w:r>
    </w:p>
    <w:p>
      <w:pPr>
        <w:pStyle w:val="null3"/>
        <w:jc w:val="left"/>
        <w:outlineLvl w:val="3"/>
      </w:pPr>
      <w:r>
        <w:rPr>
          <w:b/>
          <w:sz w:val="24"/>
        </w:rPr>
        <w:t xml:space="preserve"> 三、合同金额</w:t>
      </w:r>
    </w:p>
    <w:p>
      <w:pPr>
        <w:pStyle w:val="null3"/>
        <w:jc w:val="left"/>
      </w:pPr>
      <w:r>
        <w:rPr/>
        <w:t xml:space="preserve"> 3.1合同总价：人民币（大写）</w:t>
      </w:r>
      <w:r>
        <w:rPr/>
        <w:t>_________</w:t>
      </w:r>
      <w:r>
        <w:rPr/>
        <w:t xml:space="preserve"> 元（￥</w:t>
      </w:r>
      <w:r>
        <w:rPr/>
        <w:t>_________</w:t>
      </w:r>
      <w:r>
        <w:rPr/>
        <w:t>元）；</w:t>
      </w:r>
    </w:p>
    <w:p>
      <w:pPr>
        <w:pStyle w:val="null3"/>
        <w:jc w:val="left"/>
      </w:pPr>
      <w:r>
        <w:rPr/>
        <w:t xml:space="preserve"> 3.2合同总价组成：</w:t>
      </w:r>
      <w:r>
        <w:rPr/>
        <w:t>___________</w:t>
      </w:r>
      <w:r>
        <w:rPr/>
        <w:t>；</w:t>
      </w:r>
    </w:p>
    <w:p>
      <w:pPr>
        <w:pStyle w:val="null3"/>
        <w:jc w:val="left"/>
      </w:pPr>
      <w:r>
        <w:rPr/>
        <w:t xml:space="preserve"> 3.3其他需说明事项：</w:t>
      </w:r>
      <w:r>
        <w:rPr/>
        <w:t>___________</w:t>
      </w:r>
      <w:r>
        <w:rPr/>
        <w:t>；</w:t>
      </w:r>
    </w:p>
    <w:p>
      <w:pPr>
        <w:pStyle w:val="null3"/>
        <w:jc w:val="left"/>
        <w:outlineLvl w:val="3"/>
      </w:pPr>
      <w:r>
        <w:rPr>
          <w:b/>
          <w:sz w:val="24"/>
        </w:rPr>
        <w:t xml:space="preserve"> 四、合同标的交付</w:t>
      </w:r>
    </w:p>
    <w:p>
      <w:pPr>
        <w:pStyle w:val="null3"/>
        <w:jc w:val="left"/>
      </w:pPr>
      <w:r>
        <w:rPr/>
        <w:t xml:space="preserve"> 4.1交付时间：</w:t>
      </w:r>
      <w:r>
        <w:rPr/>
        <w:t>___________</w:t>
      </w:r>
    </w:p>
    <w:p>
      <w:pPr>
        <w:pStyle w:val="null3"/>
        <w:jc w:val="left"/>
      </w:pPr>
      <w:r>
        <w:rPr/>
        <w:t xml:space="preserve"> 4.2交付地点：</w:t>
      </w:r>
      <w:r>
        <w:rPr/>
        <w:t>___________</w:t>
      </w:r>
    </w:p>
    <w:p>
      <w:pPr>
        <w:pStyle w:val="null3"/>
        <w:jc w:val="left"/>
      </w:pPr>
      <w:r>
        <w:rPr/>
        <w:t xml:space="preserve"> 4.3交付条件：</w:t>
      </w:r>
      <w:r>
        <w:rPr/>
        <w:t>___________</w:t>
      </w:r>
    </w:p>
    <w:p>
      <w:pPr>
        <w:pStyle w:val="null3"/>
        <w:jc w:val="left"/>
      </w:pPr>
      <w:r>
        <w:rPr/>
        <w:t xml:space="preserve"> 4.4供货要求：</w:t>
      </w:r>
    </w:p>
    <w:p>
      <w:pPr>
        <w:pStyle w:val="null3"/>
        <w:jc w:val="left"/>
      </w:pPr>
      <w:r>
        <w:rPr/>
        <w:t xml:space="preserve"> (1)乙方提供的产品必须是采购文件和响应文件中约定的产品，其技术指标、型号须符合相关要求。供货时，乙方须向甲方提供产品说明书、保修卡、质量保证书等相关资料和原配的附件。原装进口产品（设备）交货时须提供中文产品说明书、保修卡、质量保证书、装箱单、商检证明等资料。制造编号与包装箱编号应一致。</w:t>
      </w:r>
    </w:p>
    <w:p>
      <w:pPr>
        <w:pStyle w:val="null3"/>
        <w:jc w:val="left"/>
      </w:pPr>
      <w:r>
        <w:rPr/>
        <w:t xml:space="preserve"> (2)乙方提供的全部货物均应采用标准保护措施进行包装，除采购文件中的采购需求另有要求外，乙方所提供的货物包装应当参照财政部办公厅等联合印发的《关于印发&lt;商品包装政府采购需求标准（试行）&gt; &lt;快递包装政府采购需求标准（试行）&gt; 的通知》（财办库〔2020〕123号）要求，包装应适用于远距离运输、防潮、防震、防锈和防野蛮装卸等要求，确保货物安全无损运抵现场。由于包装、运输、安装、调试等不善所引起的货物损坏或损失均由乙方承担。</w:t>
      </w:r>
    </w:p>
    <w:p>
      <w:pPr>
        <w:pStyle w:val="null3"/>
        <w:jc w:val="left"/>
      </w:pPr>
      <w:r>
        <w:rPr/>
        <w:t xml:space="preserve"> (3)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若乙方提供的采购标的不符合国家知识产权法律、法规的规定或被有关主管机关认定为假冒伪劣品，则乙方中标或成交资格将被取消；甲方还将按照有关法律、法规和规章的规定进行处理，具体如下：</w:t>
      </w:r>
    </w:p>
    <w:p>
      <w:pPr>
        <w:pStyle w:val="null3"/>
        <w:jc w:val="left"/>
      </w:pPr>
      <w:r>
        <w:rPr/>
        <w:t xml:space="preserve"> (4)乙方完全遵守《中华人民共和国劳动合同法》有关规定和《中华人民共和国妇女权益保障法》中关于“劳动和社会保障权益”的有关要求。</w:t>
      </w:r>
    </w:p>
    <w:p>
      <w:pPr>
        <w:pStyle w:val="null3"/>
        <w:jc w:val="left"/>
      </w:pPr>
      <w:r>
        <w:rPr/>
        <w:t xml:space="preserve"> （5）其他供货要求：</w:t>
      </w:r>
    </w:p>
    <w:p>
      <w:pPr>
        <w:pStyle w:val="null3"/>
        <w:jc w:val="left"/>
        <w:outlineLvl w:val="3"/>
      </w:pPr>
      <w:r>
        <w:rPr>
          <w:b/>
          <w:sz w:val="24"/>
        </w:rPr>
        <w:t xml:space="preserve"> 五、质量标准及要求</w:t>
      </w:r>
    </w:p>
    <w:p>
      <w:pPr>
        <w:pStyle w:val="null3"/>
        <w:jc w:val="left"/>
      </w:pPr>
      <w:r>
        <w:rPr/>
        <w:t xml:space="preserve"> 5.1质量标准及要求</w:t>
      </w:r>
    </w:p>
    <w:p>
      <w:pPr>
        <w:pStyle w:val="null3"/>
        <w:jc w:val="left"/>
      </w:pPr>
      <w:r>
        <w:rPr/>
        <w:t xml:space="preserve"> （1）乙方应确保所有产品质量均需符合国家标准、地方标准、行业标准，以及有关技术规范和产品厂家的出厂标准，提供原厂质保书、合格证等有关文件资料，并保证产品是出厂原装合格产品。进口产品须是获得国家商检局颁布安全生产许可证的出厂原装合格产品。</w:t>
      </w:r>
    </w:p>
    <w:p>
      <w:pPr>
        <w:pStyle w:val="null3"/>
        <w:jc w:val="left"/>
      </w:pPr>
      <w:r>
        <w:rPr/>
        <w:t xml:space="preserve"> （2）其他质量要求</w:t>
      </w:r>
    </w:p>
    <w:p>
      <w:pPr>
        <w:pStyle w:val="null3"/>
        <w:jc w:val="left"/>
      </w:pPr>
      <w:r>
        <w:rPr/>
        <w:t xml:space="preserve"> 5.2节能环保产品要求</w:t>
      </w:r>
    </w:p>
    <w:p>
      <w:pPr>
        <w:pStyle w:val="null3"/>
        <w:jc w:val="left"/>
      </w:pPr>
      <w:r>
        <w:rPr/>
        <w:t xml:space="preserve"> 5.3质量保证范围、质量保证期及售后服务</w:t>
      </w:r>
    </w:p>
    <w:p>
      <w:pPr>
        <w:pStyle w:val="null3"/>
        <w:jc w:val="left"/>
      </w:pPr>
      <w:r>
        <w:rPr/>
        <w:t xml:space="preserve"> （1）质量保证范围：</w:t>
      </w:r>
      <w:r>
        <w:rPr/>
        <w:t>___________</w:t>
      </w:r>
    </w:p>
    <w:p>
      <w:pPr>
        <w:pStyle w:val="null3"/>
        <w:jc w:val="left"/>
      </w:pPr>
      <w:r>
        <w:rPr/>
        <w:t xml:space="preserve"> （2）本合同乙方所供应的货物质量保证期自验收合格之日起</w:t>
      </w:r>
      <w:r>
        <w:rPr/>
        <w:t>{_______</w:t>
      </w:r>
      <w:r>
        <w:rPr/>
        <w:t>月。</w:t>
      </w:r>
    </w:p>
    <w:p>
      <w:pPr>
        <w:pStyle w:val="null3"/>
        <w:jc w:val="left"/>
      </w:pPr>
      <w:r>
        <w:rPr/>
        <w:t xml:space="preserve"> （3）售后服务应按法律法规和采购文件约定执行，具体如下：</w:t>
      </w:r>
    </w:p>
    <w:p>
      <w:pPr>
        <w:pStyle w:val="null3"/>
        <w:jc w:val="left"/>
      </w:pPr>
      <w:r>
        <w:rPr/>
        <w:t xml:space="preserve"> 5.4商品安全责任</w:t>
      </w:r>
    </w:p>
    <w:p>
      <w:pPr>
        <w:pStyle w:val="null3"/>
        <w:jc w:val="left"/>
      </w:pPr>
      <w:r>
        <w:rPr/>
        <w:t xml:space="preserve"> 商品安全责任应按照法律法规和采购文件的规定执行，具体如下：</w:t>
      </w:r>
    </w:p>
    <w:p>
      <w:pPr>
        <w:pStyle w:val="null3"/>
        <w:jc w:val="left"/>
        <w:outlineLvl w:val="3"/>
      </w:pPr>
      <w:r>
        <w:rPr>
          <w:b/>
          <w:sz w:val="24"/>
        </w:rPr>
        <w:t xml:space="preserve"> 六、安装调试、验收及退、换货</w:t>
      </w:r>
    </w:p>
    <w:p>
      <w:pPr>
        <w:pStyle w:val="null3"/>
        <w:jc w:val="left"/>
      </w:pPr>
      <w:r>
        <w:rPr/>
        <w:t xml:space="preserve"> 6.1安装调试、验收应按照采购文件、乙方响应文件的规定或约定进行，具体如下：</w:t>
      </w:r>
    </w:p>
    <w:p>
      <w:pPr>
        <w:pStyle w:val="null3"/>
        <w:jc w:val="left"/>
      </w:pPr>
      <w:r>
        <w:rPr/>
        <w:t>6.2本项目是否邀请其他投标人参与验收：</w:t>
      </w:r>
    </w:p>
    <w:p>
      <w:pPr>
        <w:pStyle w:val="null3"/>
        <w:jc w:val="left"/>
      </w:pPr>
      <w:r>
        <w:rPr/>
        <w:t xml:space="preserve"> 不邀请。 </w:t>
      </w:r>
      <w:r>
        <w:rPr/>
        <w:t xml:space="preserve"> 邀请，具体如下：</w:t>
      </w:r>
    </w:p>
    <w:p>
      <w:pPr>
        <w:pStyle w:val="null3"/>
        <w:jc w:val="left"/>
      </w:pPr>
      <w:r>
        <w:rPr/>
        <w:t>6.3本项目是否邀请专家参与验收：</w:t>
      </w:r>
    </w:p>
    <w:p>
      <w:pPr>
        <w:pStyle w:val="null3"/>
        <w:jc w:val="left"/>
      </w:pPr>
      <w:r>
        <w:rPr/>
        <w:t xml:space="preserve"> 不邀请。 </w:t>
      </w:r>
      <w:r>
        <w:rPr/>
        <w:t xml:space="preserve"> 邀请，具体如下：</w:t>
      </w:r>
    </w:p>
    <w:p>
      <w:pPr>
        <w:pStyle w:val="null3"/>
        <w:jc w:val="left"/>
      </w:pPr>
      <w:r>
        <w:rPr/>
        <w:t>6.4本项目是否邀请国家认可的质量检测机构参与验收：</w:t>
      </w:r>
    </w:p>
    <w:p>
      <w:pPr>
        <w:pStyle w:val="null3"/>
        <w:jc w:val="left"/>
      </w:pPr>
      <w:r>
        <w:rPr/>
        <w:t xml:space="preserve"> 不邀请。 </w:t>
      </w:r>
      <w:r>
        <w:rPr/>
        <w:t xml:space="preserve"> 邀请，具体如下：</w:t>
      </w:r>
    </w:p>
    <w:p>
      <w:pPr>
        <w:pStyle w:val="null3"/>
        <w:jc w:val="left"/>
      </w:pPr>
      <w:r>
        <w:rPr/>
        <w:t>6.5履约验收：___________</w:t>
      </w:r>
    </w:p>
    <w:p>
      <w:pPr>
        <w:pStyle w:val="null3"/>
        <w:jc w:val="left"/>
      </w:pPr>
      <w:r>
        <w:rPr/>
        <w:t>6.6退、换货：</w:t>
      </w:r>
      <w:r>
        <w:rPr/>
        <w:t>___________</w:t>
      </w:r>
    </w:p>
    <w:p>
      <w:pPr>
        <w:pStyle w:val="null3"/>
        <w:jc w:val="left"/>
      </w:pPr>
      <w:r>
        <w:rPr/>
        <w:t>6.7其他：</w:t>
      </w:r>
    </w:p>
    <w:p>
      <w:pPr>
        <w:pStyle w:val="null3"/>
        <w:jc w:val="left"/>
        <w:outlineLvl w:val="3"/>
      </w:pPr>
      <w:r>
        <w:rPr>
          <w:b/>
          <w:sz w:val="24"/>
        </w:rPr>
        <w:t xml:space="preserve"> 七、资金支付方式、条件和时间</w:t>
      </w:r>
      <w:r>
        <w:br/>
      </w:r>
    </w:p>
    <w:p>
      <w:pPr>
        <w:pStyle w:val="null3"/>
        <w:jc w:val="left"/>
        <w:outlineLvl w:val="3"/>
      </w:pPr>
      <w:r>
        <w:rPr>
          <w:b/>
          <w:sz w:val="24"/>
        </w:rPr>
        <w:t xml:space="preserve"> 八、履约保证金</w:t>
      </w:r>
    </w:p>
    <w:p>
      <w:pPr>
        <w:pStyle w:val="null3"/>
        <w:jc w:val="left"/>
      </w:pPr>
      <w:r>
        <w:rPr/>
        <w:t>□有，□无。具体如下违约：（按照采购文件规定填写）。</w:t>
      </w:r>
    </w:p>
    <w:p>
      <w:pPr>
        <w:pStyle w:val="null3"/>
        <w:jc w:val="left"/>
      </w:pPr>
      <w:r>
        <w:rPr/>
        <w:t>8.1乙方向甲方缴纳人民币 元（大写： ）作为本合同的履约保证金。</w:t>
      </w:r>
    </w:p>
    <w:p>
      <w:pPr>
        <w:pStyle w:val="null3"/>
        <w:jc w:val="left"/>
      </w:pPr>
      <w:r>
        <w:rPr/>
        <w:t>8.2履约保证金缴纳形式：支票/汇票/电汇/保函等非现金形式。</w:t>
      </w:r>
    </w:p>
    <w:p>
      <w:pPr>
        <w:pStyle w:val="null3"/>
        <w:jc w:val="left"/>
      </w:pPr>
      <w:r>
        <w:rPr/>
        <w:t>8.3履约保证金退还： （根据实际情况填写） 。</w:t>
      </w:r>
    </w:p>
    <w:p>
      <w:pPr>
        <w:pStyle w:val="null3"/>
        <w:jc w:val="left"/>
        <w:outlineLvl w:val="3"/>
      </w:pPr>
      <w:r>
        <w:rPr>
          <w:b/>
          <w:sz w:val="24"/>
        </w:rPr>
        <w:t xml:space="preserve"> 九、合同期限</w:t>
      </w:r>
      <w:r>
        <w:br/>
      </w:r>
    </w:p>
    <w:p>
      <w:pPr>
        <w:pStyle w:val="null3"/>
        <w:jc w:val="left"/>
        <w:outlineLvl w:val="3"/>
      </w:pPr>
      <w:r>
        <w:rPr>
          <w:b/>
          <w:sz w:val="24"/>
        </w:rPr>
        <w:t xml:space="preserve"> 十、违约责任</w:t>
      </w:r>
    </w:p>
    <w:p>
      <w:pPr>
        <w:pStyle w:val="null3"/>
        <w:jc w:val="left"/>
      </w:pPr>
      <w:r>
        <w:rPr/>
        <w:t>10.1甲方违约责任</w:t>
      </w:r>
    </w:p>
    <w:p>
      <w:pPr>
        <w:pStyle w:val="null3"/>
        <w:jc w:val="left"/>
      </w:pPr>
      <w:r>
        <w:rPr/>
        <w:t>（1）甲方无正当理由拒收乙方交付的合格产品的，甲方向乙方偿付拒收货款总值</w:t>
      </w:r>
      <w:r>
        <w:rPr/>
        <w:t>_____</w:t>
      </w:r>
      <w:r>
        <w:rPr/>
        <w:t>的违约金</w:t>
      </w:r>
    </w:p>
    <w:p>
      <w:pPr>
        <w:pStyle w:val="null3"/>
        <w:jc w:val="left"/>
      </w:pPr>
      <w:r>
        <w:rPr/>
        <w:t>（2）甲方无故逾期验收和办理合同款项支付手续的,甲方应按逾期付款总额每日</w:t>
      </w:r>
      <w:r>
        <w:rPr/>
        <w:t>_______</w:t>
      </w:r>
      <w:r>
        <w:rPr/>
        <w:t>向乙方支付违约金。</w:t>
      </w:r>
    </w:p>
    <w:p>
      <w:pPr>
        <w:pStyle w:val="null3"/>
        <w:jc w:val="left"/>
      </w:pPr>
      <w:r>
        <w:rPr/>
        <w:t>（3）其他违约情形</w:t>
      </w:r>
    </w:p>
    <w:p>
      <w:pPr>
        <w:pStyle w:val="null3"/>
        <w:jc w:val="left"/>
      </w:pPr>
      <w:r>
        <w:rPr/>
        <w:t>_______</w:t>
      </w:r>
    </w:p>
    <w:p>
      <w:pPr>
        <w:pStyle w:val="null3"/>
        <w:jc w:val="left"/>
      </w:pPr>
      <w:r>
        <w:rPr/>
        <w:t>10.2乙方违约责任</w:t>
      </w:r>
    </w:p>
    <w:p>
      <w:pPr>
        <w:pStyle w:val="null3"/>
        <w:jc w:val="left"/>
      </w:pPr>
      <w:r>
        <w:rPr/>
        <w:t>（1）乙方逾期履行服务的，乙方应按逾期交付总额每日</w:t>
      </w:r>
      <w:r>
        <w:rPr/>
        <w:t>_______</w:t>
      </w:r>
      <w:r>
        <w:rPr/>
        <w:t>向甲方支付违约金，由甲方从待付货款中扣除。乙方无正当理由逾期超过约定日期</w:t>
      </w:r>
      <w:r>
        <w:rPr/>
        <w:t>_______</w:t>
      </w:r>
      <w:r>
        <w:rPr/>
        <w:t>仍不能交付的，视为“乙方不按合同约定履约”；</w:t>
      </w:r>
    </w:p>
    <w:p>
      <w:pPr>
        <w:pStyle w:val="null3"/>
        <w:jc w:val="left"/>
      </w:pPr>
      <w:r>
        <w:rPr/>
        <w:t>（2）乙方所交付的产品不符合合同规定及《采购文件》规定标准的，甲方有权拒收，乙方愿意更换产品但逾期交货的，按乙方逾期交货处理。乙方拒绝更换产品的，视为“乙方不按合同约定履约”；</w:t>
      </w:r>
    </w:p>
    <w:p>
      <w:pPr>
        <w:pStyle w:val="null3"/>
        <w:jc w:val="left"/>
      </w:pPr>
      <w:r>
        <w:rPr/>
        <w:t>（3）乙方不按合同约定履约的，甲方可以解除采购合同，并对乙方已缴纳的履约保证金作“不予退还”处理。同时，乙方还须按向甲方支付违约金：</w:t>
      </w:r>
    </w:p>
    <w:p>
      <w:pPr>
        <w:pStyle w:val="null3"/>
        <w:jc w:val="left"/>
      </w:pPr>
      <w:r>
        <w:rPr/>
        <w:t>（4）其他违约情形</w:t>
      </w:r>
    </w:p>
    <w:p>
      <w:pPr>
        <w:pStyle w:val="null3"/>
        <w:jc w:val="left"/>
        <w:outlineLvl w:val="3"/>
      </w:pPr>
      <w:r>
        <w:rPr>
          <w:b/>
          <w:sz w:val="24"/>
        </w:rPr>
        <w:t xml:space="preserve"> 十一、不可抗力事件处理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b/>
          <w:sz w:val="24"/>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b/>
          <w:sz w:val="24"/>
        </w:rPr>
        <w:t xml:space="preserve"> 十三、解决争议的方法</w:t>
      </w:r>
    </w:p>
    <w:p>
      <w:pPr>
        <w:pStyle w:val="null3"/>
        <w:jc w:val="left"/>
      </w:pPr>
      <w:r>
        <w:rPr/>
        <w:t>13.1甲、乙双方协商解决。</w:t>
      </w:r>
    </w:p>
    <w:p>
      <w:pPr>
        <w:pStyle w:val="null3"/>
        <w:jc w:val="left"/>
      </w:pPr>
      <w:r>
        <w:rPr/>
        <w:t>13.2若协商解决不成，双方明确按以下第__方式解决：</w:t>
      </w:r>
    </w:p>
    <w:p>
      <w:pPr>
        <w:pStyle w:val="null3"/>
        <w:jc w:val="left"/>
      </w:pPr>
      <w:r>
        <w:rPr/>
        <w:t xml:space="preserve"> 1、提交仲裁委员会仲裁，具体如下：</w:t>
      </w:r>
    </w:p>
    <w:p>
      <w:pPr>
        <w:pStyle w:val="null3"/>
        <w:jc w:val="left"/>
      </w:pPr>
      <w:r>
        <w:rPr/>
        <w:t xml:space="preserve"> 2、向人民法院提起诉讼，具体如下：</w:t>
      </w:r>
    </w:p>
    <w:p>
      <w:pPr>
        <w:pStyle w:val="null3"/>
        <w:jc w:val="left"/>
        <w:outlineLvl w:val="3"/>
      </w:pPr>
      <w:r>
        <w:rPr>
          <w:b/>
          <w:sz w:val="24"/>
        </w:rPr>
        <w:t xml:space="preserve"> 十四、合同其他条款</w:t>
      </w:r>
      <w:r>
        <w:br/>
      </w:r>
    </w:p>
    <w:p>
      <w:pPr>
        <w:pStyle w:val="null3"/>
        <w:jc w:val="left"/>
        <w:outlineLvl w:val="3"/>
      </w:pPr>
      <w:r>
        <w:rPr>
          <w:b/>
          <w:sz w:val="24"/>
        </w:rPr>
        <w:t xml:space="preserve"> 十五、其他约定</w:t>
      </w:r>
    </w:p>
    <w:p>
      <w:pPr>
        <w:pStyle w:val="null3"/>
        <w:jc w:val="left"/>
      </w:pPr>
      <w:r>
        <w:rPr/>
        <w:t>15.1合同文件与本合同具有同等法律效力。</w:t>
      </w:r>
    </w:p>
    <w:p>
      <w:pPr>
        <w:pStyle w:val="null3"/>
        <w:jc w:val="left"/>
      </w:pPr>
      <w:r>
        <w:rPr/>
        <w:t>15.2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15.3本合同未尽事宜，遵照《中华人民共和国民法典》有关条文执行。</w:t>
      </w:r>
    </w:p>
    <w:p>
      <w:pPr>
        <w:pStyle w:val="null3"/>
        <w:jc w:val="left"/>
      </w:pPr>
      <w:r>
        <w:rPr/>
        <w:t>15.4本合同正本一式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15.5本合同已用于政府采购合同融资，为本项目提供合同融资的金融机构为：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15.6其他</w:t>
      </w:r>
    </w:p>
    <w:p>
      <w:pPr>
        <w:pStyle w:val="null3"/>
        <w:jc w:val="left"/>
        <w:outlineLvl w:val="3"/>
      </w:pPr>
      <w:r>
        <w:rPr>
          <w:b/>
          <w:sz w:val="24"/>
        </w:rPr>
        <w:t xml:space="preserve"> 十六、合同附件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w:t>
      </w:r>
    </w:p>
    <w:p>
      <w:pPr>
        <w:pStyle w:val="null3"/>
        <w:jc w:val="left"/>
      </w:pPr>
      <w:r>
        <w:rPr/>
        <w:t>签订日期：</w:t>
      </w:r>
      <w:r>
        <w:rPr/>
        <w:t>___年___月___日</w:t>
      </w:r>
    </w:p>
    <w:p>
      <w:pPr>
        <w:pStyle w:val="null3"/>
      </w:pPr>
      <w:r>
        <w:rPr/>
        <w:t xml:space="preserve"> </w:t>
        <w:br/>
        <w:br w:type="page"/>
      </w:r>
    </w:p>
    <w:p>
      <w:pPr>
        <w:pStyle w:val="null3"/>
        <w:jc w:val="center"/>
        <w:outlineLvl w:val="1"/>
      </w:pPr>
      <w:r>
        <w:rPr>
          <w:b/>
          <w:sz w:val="36"/>
        </w:rPr>
        <w:t>第七章 电子投标文件格式</w:t>
      </w:r>
    </w:p>
    <w:p>
      <w:pPr>
        <w:pStyle w:val="null3"/>
        <w:jc w:val="center"/>
        <w:outlineLvl w:val="2"/>
      </w:pPr>
      <w:r>
        <w:rPr>
          <w:b/>
          <w:sz w:val="28"/>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b/>
          <w:sz w:val="28"/>
        </w:rPr>
        <w:t>封面格式(资格及资信证明部分)</w:t>
      </w:r>
    </w:p>
    <w:p>
      <w:pPr>
        <w:pStyle w:val="null3"/>
        <w:jc w:val="center"/>
        <w:outlineLvl w:val="0"/>
      </w:pPr>
      <w:r>
        <w:rPr>
          <w:b/>
          <w:sz w:val="48"/>
        </w:rPr>
        <w:t>福建省政府采购投标文件</w:t>
      </w:r>
    </w:p>
    <w:p>
      <w:pPr>
        <w:pStyle w:val="null3"/>
        <w:jc w:val="center"/>
        <w:outlineLvl w:val="0"/>
      </w:pPr>
      <w:r>
        <w:rPr>
          <w:b/>
          <w:sz w:val="48"/>
        </w:rPr>
        <w:t>（资格及资信证明部分）</w:t>
      </w:r>
      <w:r>
        <w:br/>
      </w:r>
      <w:r>
        <w:br/>
      </w:r>
      <w:r>
        <w:br/>
      </w:r>
    </w:p>
    <w:p>
      <w:pPr>
        <w:pStyle w:val="null3"/>
        <w:jc w:val="center"/>
        <w:outlineLvl w:val="1"/>
      </w:pPr>
      <w:r>
        <w:rPr>
          <w:b/>
          <w:sz w:val="36"/>
        </w:rPr>
        <w:t>（填写正本或副本）</w:t>
      </w:r>
      <w:r>
        <w:br/>
      </w:r>
      <w:r>
        <w:br/>
      </w:r>
      <w:r>
        <w:br/>
      </w:r>
      <w:r>
        <w:br/>
      </w:r>
      <w:r>
        <w:br/>
      </w:r>
    </w:p>
    <w:p>
      <w:pPr>
        <w:pStyle w:val="null3"/>
        <w:jc w:val="center"/>
        <w:outlineLvl w:val="2"/>
      </w:pPr>
      <w:r>
        <w:rPr>
          <w:b/>
          <w:sz w:val="28"/>
        </w:rPr>
        <w:t>（项目名称：（由投标人填写）</w:t>
      </w:r>
    </w:p>
    <w:p>
      <w:pPr>
        <w:pStyle w:val="null3"/>
        <w:jc w:val="center"/>
        <w:outlineLvl w:val="2"/>
      </w:pPr>
      <w:r>
        <w:rPr>
          <w:b/>
          <w:sz w:val="28"/>
        </w:rPr>
        <w:t>（备案编号：（由投标人填写）</w:t>
      </w:r>
    </w:p>
    <w:p>
      <w:pPr>
        <w:pStyle w:val="null3"/>
        <w:jc w:val="center"/>
        <w:outlineLvl w:val="2"/>
      </w:pPr>
      <w:r>
        <w:rPr>
          <w:b/>
          <w:sz w:val="28"/>
        </w:rPr>
        <w:t>（项目编号：（由投标人填写）</w:t>
      </w:r>
    </w:p>
    <w:p>
      <w:pPr>
        <w:pStyle w:val="null3"/>
        <w:jc w:val="center"/>
        <w:outlineLvl w:val="2"/>
      </w:pPr>
      <w:r>
        <w:rPr>
          <w:b/>
          <w:sz w:val="28"/>
        </w:rPr>
        <w:t>（所投采购包：（由投标人填写）</w:t>
      </w:r>
      <w:r>
        <w:br/>
      </w:r>
      <w:r>
        <w:br/>
      </w:r>
    </w:p>
    <w:p>
      <w:pPr>
        <w:pStyle w:val="null3"/>
        <w:jc w:val="center"/>
        <w:outlineLvl w:val="2"/>
      </w:pPr>
      <w:r>
        <w:rPr>
          <w:b/>
          <w:sz w:val="28"/>
        </w:rPr>
        <w:t>投标人：（填写“全称”）</w:t>
      </w:r>
    </w:p>
    <w:p>
      <w:pPr>
        <w:pStyle w:val="null3"/>
        <w:jc w:val="center"/>
        <w:outlineLvl w:val="2"/>
      </w:pPr>
      <w:r>
        <w:rPr>
          <w:b/>
          <w:sz w:val="28"/>
        </w:rPr>
        <w:t>（由投标人填写）年（由投标人填写）月</w:t>
      </w:r>
    </w:p>
    <w:p>
      <w:pPr>
        <w:pStyle w:val="null3"/>
      </w:pPr>
      <w:r>
        <w:rPr/>
        <w:t xml:space="preserve"> </w:t>
        <w:br/>
        <w:br w:type="page"/>
      </w:r>
    </w:p>
    <w:p>
      <w:pPr>
        <w:pStyle w:val="null3"/>
        <w:jc w:val="center"/>
        <w:outlineLvl w:val="2"/>
      </w:pPr>
      <w:r>
        <w:rPr>
          <w:b/>
          <w:sz w:val="28"/>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b/>
          <w:sz w:val="28"/>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①开标一览表</w:t>
      </w:r>
    </w:p>
    <w:p>
      <w:pPr>
        <w:pStyle w:val="null3"/>
        <w:ind w:firstLine="480"/>
        <w:jc w:val="left"/>
      </w:pPr>
      <w:r>
        <w:rPr/>
        <w:t>②投标分项报价表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1.1所投采购包的投标报价详见“开标一览表”及“投标分项报价表”。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 xml:space="preserve">通信地址：                                        </w:t>
      </w:r>
    </w:p>
    <w:p>
      <w:pPr>
        <w:pStyle w:val="null3"/>
        <w:ind w:firstLine="480"/>
        <w:jc w:val="left"/>
      </w:pPr>
      <w:r>
        <w:rPr/>
        <w:t xml:space="preserve">邮编：                                           </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b/>
          <w:sz w:val="28"/>
        </w:rPr>
        <w:t>二、投标人的资格及资信证明文件</w:t>
      </w:r>
    </w:p>
    <w:p>
      <w:pPr>
        <w:pStyle w:val="null3"/>
        <w:jc w:val="center"/>
        <w:outlineLvl w:val="3"/>
      </w:pPr>
      <w:r>
        <w:rPr>
          <w:b/>
          <w:sz w:val="24"/>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jc w:val="left"/>
      </w:pPr>
      <w:r>
        <w:rPr/>
        <w:t xml:space="preserve"> </w:t>
        <w:br/>
        <w:br w:type="page"/>
      </w:r>
    </w:p>
    <w:p>
      <w:pPr>
        <w:pStyle w:val="null3"/>
        <w:jc w:val="center"/>
        <w:outlineLvl w:val="3"/>
      </w:pPr>
      <w:r>
        <w:rPr>
          <w:b/>
          <w:sz w:val="24"/>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b/>
          <w:sz w:val="24"/>
        </w:rPr>
        <w:t>二-9中小企业声明函</w:t>
      </w:r>
    </w:p>
    <w:p>
      <w:pPr>
        <w:pStyle w:val="null3"/>
        <w:jc w:val="center"/>
        <w:outlineLvl w:val="3"/>
      </w:pPr>
      <w:r>
        <w:rPr>
          <w:b/>
          <w:sz w:val="24"/>
        </w:rPr>
        <w:t>（以资格条件落实中小企业扶持政策时适用，若有）</w:t>
      </w:r>
    </w:p>
    <w:p>
      <w:pPr>
        <w:pStyle w:val="null3"/>
        <w:jc w:val="center"/>
        <w:outlineLvl w:val="3"/>
      </w:pPr>
      <w:r>
        <w:rPr>
          <w:b/>
          <w:sz w:val="24"/>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b/>
          <w:sz w:val="24"/>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b/>
          <w:sz w:val="24"/>
        </w:rPr>
        <w:t>残疾人福利性单位声明函</w:t>
      </w:r>
    </w:p>
    <w:p>
      <w:pPr>
        <w:pStyle w:val="null3"/>
        <w:jc w:val="center"/>
        <w:outlineLvl w:val="3"/>
      </w:pPr>
      <w:r>
        <w:rPr>
          <w:b/>
          <w:sz w:val="24"/>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jc w:val="center"/>
        <w:outlineLvl w:val="3"/>
      </w:pPr>
      <w:r>
        <w:rPr>
          <w:b/>
          <w:sz w:val="24"/>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b/>
          <w:sz w:val="24"/>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b/>
          <w:sz w:val="24"/>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b/>
          <w:sz w:val="24"/>
        </w:rPr>
        <w:t>二-12其他资格证明文件（若有）</w:t>
      </w:r>
    </w:p>
    <w:p>
      <w:pPr>
        <w:pStyle w:val="null3"/>
        <w:jc w:val="center"/>
        <w:outlineLvl w:val="3"/>
      </w:pPr>
      <w:r>
        <w:rPr>
          <w:b/>
          <w:sz w:val="24"/>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b/>
          <w:sz w:val="28"/>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b/>
          <w:sz w:val="28"/>
        </w:rPr>
        <w:t>封面格式(报价部分)</w:t>
      </w:r>
    </w:p>
    <w:p>
      <w:pPr>
        <w:pStyle w:val="null3"/>
        <w:jc w:val="center"/>
        <w:outlineLvl w:val="0"/>
      </w:pPr>
      <w:r>
        <w:rPr>
          <w:b/>
          <w:sz w:val="48"/>
        </w:rPr>
        <w:t>福建省政府采购投标文件</w:t>
      </w:r>
    </w:p>
    <w:p>
      <w:pPr>
        <w:pStyle w:val="null3"/>
        <w:jc w:val="center"/>
        <w:outlineLvl w:val="0"/>
      </w:pPr>
      <w:r>
        <w:rPr>
          <w:b/>
          <w:sz w:val="48"/>
        </w:rPr>
        <w:t>（报价部分）</w:t>
      </w:r>
      <w:r>
        <w:br/>
      </w:r>
      <w:r>
        <w:br/>
      </w:r>
      <w:r>
        <w:br/>
      </w:r>
    </w:p>
    <w:p>
      <w:pPr>
        <w:pStyle w:val="null3"/>
        <w:jc w:val="center"/>
        <w:outlineLvl w:val="1"/>
      </w:pPr>
      <w:r>
        <w:rPr>
          <w:b/>
          <w:sz w:val="36"/>
        </w:rPr>
        <w:t>（填写正本或副本）</w:t>
      </w:r>
      <w:r>
        <w:br/>
      </w:r>
      <w:r>
        <w:br/>
      </w:r>
      <w:r>
        <w:br/>
      </w:r>
      <w:r>
        <w:br/>
      </w:r>
      <w:r>
        <w:br/>
      </w:r>
    </w:p>
    <w:p>
      <w:pPr>
        <w:pStyle w:val="null3"/>
        <w:jc w:val="center"/>
        <w:outlineLvl w:val="2"/>
      </w:pPr>
      <w:r>
        <w:rPr>
          <w:b/>
          <w:sz w:val="28"/>
        </w:rPr>
        <w:t>（项目名称：（由投标人填写）</w:t>
      </w:r>
    </w:p>
    <w:p>
      <w:pPr>
        <w:pStyle w:val="null3"/>
        <w:jc w:val="center"/>
        <w:outlineLvl w:val="2"/>
      </w:pPr>
      <w:r>
        <w:rPr>
          <w:b/>
          <w:sz w:val="28"/>
        </w:rPr>
        <w:t>（备案编号：（由投标人填写）</w:t>
      </w:r>
    </w:p>
    <w:p>
      <w:pPr>
        <w:pStyle w:val="null3"/>
        <w:jc w:val="center"/>
        <w:outlineLvl w:val="2"/>
      </w:pPr>
      <w:r>
        <w:rPr>
          <w:b/>
          <w:sz w:val="28"/>
        </w:rPr>
        <w:t>（项目编号：（由投标人填写）</w:t>
      </w:r>
    </w:p>
    <w:p>
      <w:pPr>
        <w:pStyle w:val="null3"/>
        <w:jc w:val="center"/>
        <w:outlineLvl w:val="2"/>
      </w:pPr>
      <w:r>
        <w:rPr>
          <w:b/>
          <w:sz w:val="28"/>
        </w:rPr>
        <w:t>（所投采购包：（由投标人填写）</w:t>
      </w:r>
      <w:r>
        <w:br/>
      </w:r>
      <w:r>
        <w:br/>
      </w:r>
    </w:p>
    <w:p>
      <w:pPr>
        <w:pStyle w:val="null3"/>
        <w:jc w:val="center"/>
        <w:outlineLvl w:val="2"/>
      </w:pPr>
      <w:r>
        <w:rPr>
          <w:b/>
          <w:sz w:val="28"/>
        </w:rPr>
        <w:t>投标人：（填写“全称”）</w:t>
      </w:r>
    </w:p>
    <w:p>
      <w:pPr>
        <w:pStyle w:val="null3"/>
        <w:jc w:val="center"/>
        <w:outlineLvl w:val="2"/>
      </w:pPr>
      <w:r>
        <w:rPr>
          <w:b/>
          <w:sz w:val="28"/>
        </w:rPr>
        <w:t>（由投标人填写）年（由投标人填写）月</w:t>
      </w:r>
    </w:p>
    <w:p>
      <w:pPr>
        <w:pStyle w:val="null3"/>
      </w:pPr>
      <w:r>
        <w:rPr/>
        <w:t xml:space="preserve"> </w:t>
        <w:br/>
        <w:br w:type="page"/>
      </w:r>
    </w:p>
    <w:p>
      <w:pPr>
        <w:pStyle w:val="null3"/>
        <w:jc w:val="center"/>
        <w:outlineLvl w:val="2"/>
      </w:pPr>
      <w:r>
        <w:rPr>
          <w:b/>
          <w:sz w:val="28"/>
        </w:rPr>
        <w:t>索引</w:t>
      </w:r>
    </w:p>
    <w:p>
      <w:pPr>
        <w:pStyle w:val="null3"/>
        <w:ind w:firstLine="480"/>
        <w:jc w:val="left"/>
      </w:pPr>
      <w:r>
        <w:rPr/>
        <w:t>一、开标一览表</w:t>
      </w:r>
    </w:p>
    <w:p>
      <w:pPr>
        <w:pStyle w:val="null3"/>
        <w:ind w:firstLine="480"/>
        <w:jc w:val="left"/>
      </w:pPr>
      <w:r>
        <w:rPr/>
        <w:t>二、投标分项报价表</w:t>
      </w:r>
    </w:p>
    <w:p>
      <w:pPr>
        <w:pStyle w:val="null3"/>
        <w:ind w:firstLine="480"/>
        <w:jc w:val="left"/>
      </w:pPr>
      <w:r>
        <w:rPr/>
        <w:t>三、招标文件规定的价格扣除证明材料（若有）</w:t>
      </w:r>
    </w:p>
    <w:p>
      <w:pPr>
        <w:pStyle w:val="null3"/>
        <w:ind w:firstLine="480"/>
        <w:jc w:val="left"/>
      </w:pPr>
      <w:r>
        <w:rPr/>
        <w:t>四、招标文件规定的加分证明材料（若有）</w:t>
      </w:r>
    </w:p>
    <w:p>
      <w:pPr>
        <w:pStyle w:val="null3"/>
      </w:pPr>
      <w:r>
        <w:rPr/>
        <w:t xml:space="preserve"> </w:t>
        <w:br/>
        <w:br w:type="page"/>
      </w:r>
    </w:p>
    <w:p>
      <w:pPr>
        <w:pStyle w:val="null3"/>
        <w:jc w:val="center"/>
        <w:outlineLvl w:val="2"/>
      </w:pPr>
      <w:r>
        <w:rPr>
          <w:b/>
          <w:sz w:val="28"/>
        </w:rPr>
        <w:t>一、开标一览表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采购包</w:t>
            </w:r>
          </w:p>
        </w:tc>
        <w:tc>
          <w:tcPr>
            <w:tcW w:type="dxa" w:w="2076"/>
          </w:tcPr>
          <w:p>
            <w:pPr>
              <w:pStyle w:val="null3"/>
              <w:jc w:val="left"/>
            </w:pPr>
            <w:r>
              <w:rPr/>
              <w:t>投标报价</w:t>
            </w:r>
          </w:p>
        </w:tc>
        <w:tc>
          <w:tcPr>
            <w:tcW w:type="dxa" w:w="2076"/>
          </w:tcPr>
          <w:p>
            <w:pPr>
              <w:pStyle w:val="null3"/>
              <w:jc w:val="left"/>
            </w:pPr>
            <w:r>
              <w:rPr/>
              <w:t>投标保证金</w:t>
            </w:r>
          </w:p>
        </w:tc>
        <w:tc>
          <w:tcPr>
            <w:tcW w:type="dxa" w:w="2076"/>
          </w:tcPr>
          <w:p>
            <w:pPr>
              <w:pStyle w:val="null3"/>
              <w:jc w:val="left"/>
            </w:pPr>
            <w:r>
              <w:rPr/>
              <w:t>备注</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val="restart"/>
          </w:tcPr>
          <w:p>
            <w:pPr>
              <w:pStyle w:val="null3"/>
              <w:jc w:val="left"/>
            </w:pPr>
            <w:r>
              <w:rPr/>
              <w:t>a.&gt;投标报价的明细：详见《投标分项报价表》。</w:t>
            </w:r>
          </w:p>
          <w:p>
            <w:pPr>
              <w:pStyle w:val="null3"/>
              <w:jc w:val="left"/>
            </w:pPr>
            <w:r>
              <w:rPr/>
              <w:t>b.&gt;招标文件规定的价格扣除证明材料（若有）：详见报价部分。</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1.1投标人应按照本表格式填写所投的采购包的“投标报价”。</w:t>
      </w:r>
    </w:p>
    <w:p>
      <w:pPr>
        <w:pStyle w:val="null3"/>
        <w:ind w:firstLine="480"/>
        <w:jc w:val="left"/>
      </w:pPr>
      <w:r>
        <w:rPr/>
        <w:t>1.2本表中列示的“采购包”应与《投标分项报价表》中列示的“采购包”保持一致，即：若本表中列示的“采购包”为“1”时，《投标分项报价表》中列示的“采购包”亦应为“1”，以此类推。</w:t>
      </w:r>
    </w:p>
    <w:p>
      <w:pPr>
        <w:pStyle w:val="null3"/>
        <w:ind w:firstLine="480"/>
        <w:jc w:val="left"/>
      </w:pPr>
      <w:r>
        <w:rPr/>
        <w:t>1.3“大写金额”指“投标报价”应用“壹、贰、叁、肆、伍、陆、柒、捌、玖、拾、佰、仟、万、亿、元、角、分、零”等进行填写。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二、投标分项报价表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采购包</w:t>
            </w:r>
          </w:p>
        </w:tc>
        <w:tc>
          <w:tcPr>
            <w:tcW w:type="dxa" w:w="923"/>
          </w:tcPr>
          <w:p>
            <w:pPr>
              <w:pStyle w:val="null3"/>
              <w:jc w:val="left"/>
            </w:pPr>
            <w:r>
              <w:rPr/>
              <w:t>品目号</w:t>
            </w:r>
          </w:p>
        </w:tc>
        <w:tc>
          <w:tcPr>
            <w:tcW w:type="dxa" w:w="923"/>
          </w:tcPr>
          <w:p>
            <w:pPr>
              <w:pStyle w:val="null3"/>
              <w:jc w:val="left"/>
            </w:pPr>
            <w:r>
              <w:rPr/>
              <w:t>投标标的</w:t>
            </w:r>
          </w:p>
        </w:tc>
        <w:tc>
          <w:tcPr>
            <w:tcW w:type="dxa" w:w="923"/>
          </w:tcPr>
          <w:p>
            <w:pPr>
              <w:pStyle w:val="null3"/>
              <w:jc w:val="left"/>
            </w:pPr>
            <w:r>
              <w:rPr/>
              <w:t>规格</w:t>
            </w:r>
          </w:p>
        </w:tc>
        <w:tc>
          <w:tcPr>
            <w:tcW w:type="dxa" w:w="923"/>
          </w:tcPr>
          <w:p>
            <w:pPr>
              <w:pStyle w:val="null3"/>
              <w:jc w:val="left"/>
            </w:pPr>
            <w:r>
              <w:rPr/>
              <w:t>来源地</w:t>
            </w:r>
          </w:p>
        </w:tc>
        <w:tc>
          <w:tcPr>
            <w:tcW w:type="dxa" w:w="923"/>
          </w:tcPr>
          <w:p>
            <w:pPr>
              <w:pStyle w:val="null3"/>
              <w:jc w:val="left"/>
            </w:pPr>
            <w:r>
              <w:rPr/>
              <w:t>单价</w:t>
            </w:r>
          </w:p>
        </w:tc>
        <w:tc>
          <w:tcPr>
            <w:tcW w:type="dxa" w:w="923"/>
          </w:tcPr>
          <w:p>
            <w:pPr>
              <w:pStyle w:val="null3"/>
              <w:jc w:val="left"/>
            </w:pPr>
            <w:r>
              <w:rPr/>
              <w:t>数量</w:t>
            </w:r>
          </w:p>
        </w:tc>
        <w:tc>
          <w:tcPr>
            <w:tcW w:type="dxa" w:w="923"/>
          </w:tcPr>
          <w:p>
            <w:pPr>
              <w:pStyle w:val="null3"/>
              <w:jc w:val="left"/>
            </w:pPr>
            <w:r>
              <w:rPr/>
              <w:t>总价</w:t>
            </w:r>
          </w:p>
        </w:tc>
        <w:tc>
          <w:tcPr>
            <w:tcW w:type="dxa" w:w="923"/>
          </w:tcPr>
          <w:p>
            <w:pPr>
              <w:pStyle w:val="null3"/>
              <w:jc w:val="left"/>
            </w:pPr>
            <w:r>
              <w:rPr/>
              <w:t>备注</w:t>
            </w:r>
          </w:p>
        </w:tc>
      </w:tr>
      <w:tr>
        <w:tc>
          <w:tcPr>
            <w:tcW w:type="dxa" w:w="923"/>
            <w:vMerge w:val="restart"/>
          </w:tcPr>
          <w:p>
            <w:pPr>
              <w:pStyle w:val="null3"/>
              <w:jc w:val="left"/>
            </w:pPr>
            <w:r>
              <w:rPr/>
              <w:t>*</w:t>
            </w:r>
          </w:p>
        </w:tc>
        <w:tc>
          <w:tcPr>
            <w:tcW w:type="dxa" w:w="923"/>
          </w:tcPr>
          <w:p>
            <w:pPr>
              <w:pStyle w:val="null3"/>
              <w:jc w:val="left"/>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vMerge/>
          </w:tcPr>
          <w:p/>
        </w:tc>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采购包的分项报价，其中：“采购包”、“品目号”、“投标标的”及“数量”应与招标文件《采购标的一览表》中的有关内容（“采购包”、“品目号”、“采购标的”及“数量”）保持一致，“采购包”还应与《开标一览表》中列示的“采购包”保持一致，即：若《开标一览表》中列示的“采购包”为“1”时，本表中列示的“采购包”亦应为“1”，以此类推。</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w:t>
      </w:r>
    </w:p>
    <w:p>
      <w:pPr>
        <w:pStyle w:val="null3"/>
        <w:ind w:firstLine="480"/>
        <w:jc w:val="left"/>
      </w:pPr>
      <w:r>
        <w:rPr/>
        <w:t>1.3“投标标的”为服务的：“规格”项下应填写服务提供者提供的服务标准及品牌（若有）。“来源地”应填写服务提供者的所在地。</w:t>
      </w:r>
    </w:p>
    <w:p>
      <w:pPr>
        <w:pStyle w:val="null3"/>
        <w:ind w:firstLine="480"/>
        <w:jc w:val="left"/>
      </w:pPr>
      <w:r>
        <w:rPr/>
        <w:t>1.4同一采购包中，“单价”×“数量”=“总价”，全部品目号“总价”的合计金额应与《开标一览表》中相应采购包列示的“投标总价”保持一致。</w:t>
      </w:r>
    </w:p>
    <w:p>
      <w:pPr>
        <w:pStyle w:val="null3"/>
        <w:ind w:firstLine="480"/>
        <w:jc w:val="left"/>
      </w:pPr>
      <w:r>
        <w:rPr/>
        <w:t>1.5若招标文件要求投标人对“备品备件价格、专用工具价格、技术服务费、安装调试费、检验培训费、运输费、保险费、税收”等进行报价的，请在本表的“备注”项下填写。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三、招标文件规定的价格扣除证明材料（若有）</w:t>
      </w:r>
    </w:p>
    <w:p>
      <w:pPr>
        <w:pStyle w:val="null3"/>
        <w:jc w:val="center"/>
        <w:outlineLvl w:val="3"/>
      </w:pPr>
      <w:r>
        <w:rPr>
          <w:b/>
          <w:sz w:val="24"/>
        </w:rPr>
        <w:t>三-1优先类节能产品、环境标志产品价格扣除证明材料（若有）</w:t>
      </w:r>
    </w:p>
    <w:p>
      <w:pPr>
        <w:pStyle w:val="null3"/>
        <w:jc w:val="center"/>
        <w:outlineLvl w:val="3"/>
      </w:pPr>
      <w:r>
        <w:rPr>
          <w:b/>
          <w:sz w:val="24"/>
        </w:rPr>
        <w:t>三-1-①优先类节能产品、环境标志产品统计表（价格扣除适用，若有）</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本采购包内属于节能、环境标志产品的报价情况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货物名称</w:t>
            </w:r>
          </w:p>
        </w:tc>
        <w:tc>
          <w:tcPr>
            <w:tcW w:type="dxa" w:w="1187"/>
          </w:tcPr>
          <w:p>
            <w:pPr>
              <w:pStyle w:val="null3"/>
              <w:jc w:val="left"/>
            </w:pPr>
            <w:r>
              <w:rPr/>
              <w:t>单价</w:t>
            </w:r>
          </w:p>
        </w:tc>
        <w:tc>
          <w:tcPr>
            <w:tcW w:type="dxa" w:w="1187"/>
          </w:tcPr>
          <w:p>
            <w:pPr>
              <w:pStyle w:val="null3"/>
              <w:jc w:val="left"/>
            </w:pPr>
            <w:r>
              <w:rPr/>
              <w:t>数量</w:t>
            </w:r>
          </w:p>
        </w:tc>
        <w:tc>
          <w:tcPr>
            <w:tcW w:type="dxa" w:w="1187"/>
          </w:tcPr>
          <w:p>
            <w:pPr>
              <w:pStyle w:val="null3"/>
              <w:jc w:val="left"/>
            </w:pPr>
            <w:r>
              <w:rPr/>
              <w:t>总价</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报价</w:t>
            </w:r>
          </w:p>
        </w:tc>
        <w:tc>
          <w:tcPr>
            <w:tcW w:type="dxa" w:w="7122"/>
            <w:gridSpan w:val="6"/>
          </w:tcPr>
          <w:p>
            <w:pPr>
              <w:pStyle w:val="null3"/>
              <w:jc w:val="left"/>
            </w:pPr>
            <w:r>
              <w:rPr/>
              <w:t>采购包内属于节能、环境标志产品的报价总金额：</w:t>
            </w:r>
            <w:r>
              <w:rPr>
                <w:u w:val="single"/>
              </w:rPr>
              <w:t>　　　　　。</w:t>
            </w:r>
          </w:p>
        </w:tc>
      </w:tr>
    </w:tbl>
    <w:p>
      <w:pPr>
        <w:pStyle w:val="null3"/>
        <w:ind w:firstLine="480"/>
        <w:jc w:val="left"/>
      </w:pPr>
      <w:r>
        <w:rPr/>
        <w:t>※注意：</w:t>
      </w:r>
    </w:p>
    <w:p>
      <w:pPr>
        <w:pStyle w:val="null3"/>
        <w:ind w:firstLine="480"/>
        <w:jc w:val="left"/>
      </w:pPr>
      <w:r>
        <w:rPr/>
        <w:t>1、对节能、环境标志产品计算价格扣除时，只依据电子投标文件“三-1-②优先类节能产品、环境标志产品证明材料（价格扣除适用，若有）”。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3.1同一品目中各认证证书不重复计算价格扣除。强制类节能产品不享受价格扣除。</w:t>
      </w:r>
    </w:p>
    <w:p>
      <w:pPr>
        <w:pStyle w:val="null3"/>
        <w:ind w:firstLine="480"/>
        <w:jc w:val="left"/>
      </w:pPr>
      <w:r>
        <w:rPr/>
        <w:t>3.2计算结果若除不尽，可四舍五入保留到小数点后两位。</w:t>
      </w:r>
    </w:p>
    <w:p>
      <w:pPr>
        <w:pStyle w:val="null3"/>
        <w:ind w:firstLine="480"/>
        <w:jc w:val="left"/>
      </w:pPr>
      <w:r>
        <w:rPr/>
        <w:t>3.3投标人应按照招标文件要求认真统计、计算。</w:t>
      </w:r>
    </w:p>
    <w:p>
      <w:pPr>
        <w:pStyle w:val="null3"/>
        <w:ind w:firstLine="480"/>
        <w:jc w:val="left"/>
      </w:pPr>
      <w:r>
        <w:rPr/>
        <w:t>3.4若无节能、环境标志产品，不填写本表。</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三-1-②优先类节能产品、环境标志产品证明材料（价格扣除适用，若有）</w:t>
      </w:r>
    </w:p>
    <w:p>
      <w:pPr>
        <w:pStyle w:val="null3"/>
        <w:jc w:val="center"/>
        <w:outlineLvl w:val="3"/>
      </w:pPr>
      <w:r>
        <w:rPr>
          <w:b/>
          <w:sz w:val="24"/>
        </w:rPr>
        <w:t>三-2小型、微型企业产品等价格扣除证明材料（若有）</w:t>
      </w:r>
    </w:p>
    <w:p>
      <w:pPr>
        <w:pStyle w:val="null3"/>
        <w:jc w:val="center"/>
        <w:outlineLvl w:val="3"/>
      </w:pPr>
      <w:r>
        <w:rPr>
          <w:b/>
          <w:sz w:val="24"/>
        </w:rPr>
        <w:t>三-2-①中小企业声明函（价格扣除适用，若有）</w:t>
      </w:r>
    </w:p>
    <w:p>
      <w:pPr>
        <w:pStyle w:val="null3"/>
        <w:jc w:val="center"/>
        <w:outlineLvl w:val="3"/>
      </w:pPr>
      <w:r>
        <w:rPr>
          <w:b/>
          <w:sz w:val="24"/>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b/>
          <w:sz w:val="24"/>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b/>
          <w:sz w:val="24"/>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b/>
          <w:sz w:val="24"/>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b/>
          <w:sz w:val="24"/>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b/>
          <w:sz w:val="24"/>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b/>
          <w:sz w:val="28"/>
        </w:rPr>
        <w:t>封面格式(技术商务部分)</w:t>
      </w:r>
    </w:p>
    <w:p>
      <w:pPr>
        <w:pStyle w:val="null3"/>
        <w:jc w:val="center"/>
        <w:outlineLvl w:val="0"/>
      </w:pPr>
      <w:r>
        <w:rPr>
          <w:b/>
          <w:sz w:val="48"/>
        </w:rPr>
        <w:t>福建省政府采购投标文件</w:t>
      </w:r>
    </w:p>
    <w:p>
      <w:pPr>
        <w:pStyle w:val="null3"/>
        <w:jc w:val="center"/>
        <w:outlineLvl w:val="0"/>
      </w:pPr>
      <w:r>
        <w:rPr>
          <w:b/>
          <w:sz w:val="48"/>
        </w:rPr>
        <w:t>（技术商务部分）</w:t>
      </w:r>
      <w:r>
        <w:br/>
      </w:r>
      <w:r>
        <w:br/>
      </w:r>
      <w:r>
        <w:br/>
      </w:r>
    </w:p>
    <w:p>
      <w:pPr>
        <w:pStyle w:val="null3"/>
        <w:jc w:val="center"/>
        <w:outlineLvl w:val="1"/>
      </w:pPr>
      <w:r>
        <w:rPr>
          <w:b/>
          <w:sz w:val="36"/>
        </w:rPr>
        <w:t>（填写正本或副本）</w:t>
      </w:r>
      <w:r>
        <w:br/>
      </w:r>
      <w:r>
        <w:br/>
      </w:r>
      <w:r>
        <w:br/>
      </w:r>
      <w:r>
        <w:br/>
      </w:r>
      <w:r>
        <w:br/>
      </w:r>
    </w:p>
    <w:p>
      <w:pPr>
        <w:pStyle w:val="null3"/>
        <w:jc w:val="center"/>
        <w:outlineLvl w:val="2"/>
      </w:pPr>
      <w:r>
        <w:rPr>
          <w:b/>
          <w:sz w:val="28"/>
        </w:rPr>
        <w:t>（项目名称：（由投标人填写）</w:t>
      </w:r>
    </w:p>
    <w:p>
      <w:pPr>
        <w:pStyle w:val="null3"/>
        <w:jc w:val="center"/>
        <w:outlineLvl w:val="2"/>
      </w:pPr>
      <w:r>
        <w:rPr>
          <w:b/>
          <w:sz w:val="28"/>
        </w:rPr>
        <w:t>（备案编号：（由投标人填写）</w:t>
      </w:r>
    </w:p>
    <w:p>
      <w:pPr>
        <w:pStyle w:val="null3"/>
        <w:jc w:val="center"/>
        <w:outlineLvl w:val="2"/>
      </w:pPr>
      <w:r>
        <w:rPr>
          <w:b/>
          <w:sz w:val="28"/>
        </w:rPr>
        <w:t>（项目编号：（由投标人填写）</w:t>
      </w:r>
    </w:p>
    <w:p>
      <w:pPr>
        <w:pStyle w:val="null3"/>
        <w:jc w:val="center"/>
        <w:outlineLvl w:val="2"/>
      </w:pPr>
      <w:r>
        <w:rPr>
          <w:b/>
          <w:sz w:val="28"/>
        </w:rPr>
        <w:t>（所投采购包：（由投标人填写）</w:t>
      </w:r>
      <w:r>
        <w:br/>
      </w:r>
      <w:r>
        <w:br/>
      </w:r>
    </w:p>
    <w:p>
      <w:pPr>
        <w:pStyle w:val="null3"/>
        <w:jc w:val="center"/>
        <w:outlineLvl w:val="2"/>
      </w:pPr>
      <w:r>
        <w:rPr>
          <w:b/>
          <w:sz w:val="28"/>
        </w:rPr>
        <w:t>投标人：（填写“全称”）</w:t>
      </w:r>
    </w:p>
    <w:p>
      <w:pPr>
        <w:pStyle w:val="null3"/>
        <w:jc w:val="center"/>
        <w:outlineLvl w:val="2"/>
      </w:pPr>
      <w:r>
        <w:rPr>
          <w:b/>
          <w:sz w:val="28"/>
        </w:rPr>
        <w:t>（由投标人填写）年（由投标人填写）月</w:t>
      </w:r>
    </w:p>
    <w:p>
      <w:pPr>
        <w:pStyle w:val="null3"/>
      </w:pPr>
      <w:r>
        <w:rPr/>
        <w:t xml:space="preserve"> </w:t>
        <w:br/>
        <w:br w:type="page"/>
      </w:r>
    </w:p>
    <w:p>
      <w:pPr>
        <w:pStyle w:val="null3"/>
        <w:jc w:val="center"/>
        <w:outlineLvl w:val="2"/>
      </w:pPr>
      <w:r>
        <w:rPr>
          <w:b/>
          <w:sz w:val="28"/>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b/>
          <w:sz w:val="28"/>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